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3969"/>
        <w:gridCol w:w="1843"/>
      </w:tblGrid>
      <w:tr w:rsidR="008B110E" w:rsidRPr="00C57030" w:rsidTr="00B8190E">
        <w:trPr>
          <w:trHeight w:val="214"/>
        </w:trPr>
        <w:tc>
          <w:tcPr>
            <w:tcW w:w="3970" w:type="dxa"/>
            <w:shd w:val="clear" w:color="auto" w:fill="BFBFBF" w:themeFill="background1" w:themeFillShade="BF"/>
          </w:tcPr>
          <w:p w:rsidR="008B110E" w:rsidRPr="00565A1C" w:rsidRDefault="008B110E" w:rsidP="00871ECB">
            <w:pPr>
              <w:spacing w:before="20" w:after="20"/>
              <w:jc w:val="both"/>
              <w:rPr>
                <w:rFonts w:cs="Arial"/>
                <w:b/>
                <w:bCs/>
                <w:sz w:val="20"/>
                <w:szCs w:val="20"/>
                <w:lang w:eastAsia="en-AU"/>
              </w:rPr>
            </w:pPr>
            <w:bookmarkStart w:id="0" w:name="_GoBack"/>
            <w:bookmarkEnd w:id="0"/>
            <w:r w:rsidRPr="00565A1C">
              <w:rPr>
                <w:rFonts w:cs="Arial"/>
                <w:b/>
                <w:bCs/>
                <w:sz w:val="20"/>
                <w:szCs w:val="20"/>
                <w:lang w:eastAsia="en-AU"/>
              </w:rPr>
              <w:t>Clause</w:t>
            </w:r>
          </w:p>
        </w:tc>
        <w:tc>
          <w:tcPr>
            <w:tcW w:w="3969" w:type="dxa"/>
            <w:shd w:val="clear" w:color="auto" w:fill="BFBFBF" w:themeFill="background1" w:themeFillShade="BF"/>
          </w:tcPr>
          <w:p w:rsidR="008B110E" w:rsidRPr="00565A1C" w:rsidRDefault="00565A1C" w:rsidP="00871ECB">
            <w:pPr>
              <w:spacing w:before="20" w:after="20"/>
              <w:jc w:val="both"/>
              <w:rPr>
                <w:rFonts w:cs="Arial"/>
                <w:b/>
                <w:bCs/>
                <w:sz w:val="20"/>
                <w:szCs w:val="20"/>
                <w:lang w:eastAsia="en-AU"/>
              </w:rPr>
            </w:pPr>
            <w:r>
              <w:rPr>
                <w:rFonts w:cs="Arial"/>
                <w:b/>
                <w:bCs/>
                <w:sz w:val="20"/>
                <w:szCs w:val="20"/>
                <w:lang w:eastAsia="en-AU"/>
              </w:rPr>
              <w:t>Assessment</w:t>
            </w:r>
          </w:p>
        </w:tc>
        <w:tc>
          <w:tcPr>
            <w:tcW w:w="1843" w:type="dxa"/>
            <w:shd w:val="clear" w:color="auto" w:fill="BFBFBF" w:themeFill="background1" w:themeFillShade="BF"/>
          </w:tcPr>
          <w:p w:rsidR="008B110E" w:rsidRPr="00565A1C" w:rsidRDefault="008B110E" w:rsidP="00871ECB">
            <w:pPr>
              <w:tabs>
                <w:tab w:val="left" w:pos="7263"/>
              </w:tabs>
              <w:spacing w:before="20" w:after="20"/>
              <w:ind w:right="-108"/>
              <w:jc w:val="both"/>
              <w:rPr>
                <w:rFonts w:cs="Arial"/>
                <w:b/>
                <w:bCs/>
                <w:sz w:val="20"/>
                <w:szCs w:val="20"/>
                <w:lang w:eastAsia="en-AU"/>
              </w:rPr>
            </w:pPr>
            <w:r w:rsidRPr="00565A1C">
              <w:rPr>
                <w:rFonts w:cs="Arial"/>
                <w:b/>
                <w:bCs/>
                <w:sz w:val="20"/>
                <w:szCs w:val="20"/>
                <w:lang w:eastAsia="en-AU"/>
              </w:rPr>
              <w:t>Compliance</w:t>
            </w:r>
            <w:r w:rsidR="00565A1C">
              <w:rPr>
                <w:rFonts w:cs="Arial"/>
                <w:b/>
                <w:bCs/>
                <w:sz w:val="20"/>
                <w:szCs w:val="20"/>
                <w:lang w:eastAsia="en-AU"/>
              </w:rPr>
              <w:t>?</w:t>
            </w:r>
          </w:p>
        </w:tc>
      </w:tr>
      <w:tr w:rsidR="002871CA" w:rsidRPr="00C57030" w:rsidTr="00B8190E">
        <w:trPr>
          <w:trHeight w:val="214"/>
        </w:trPr>
        <w:tc>
          <w:tcPr>
            <w:tcW w:w="3970" w:type="dxa"/>
            <w:shd w:val="clear" w:color="auto" w:fill="auto"/>
          </w:tcPr>
          <w:p w:rsidR="002871CA" w:rsidRPr="00565A1C" w:rsidRDefault="002871CA" w:rsidP="00871ECB">
            <w:pPr>
              <w:spacing w:before="20" w:after="20"/>
              <w:jc w:val="both"/>
              <w:rPr>
                <w:rFonts w:cs="Arial"/>
                <w:sz w:val="20"/>
                <w:szCs w:val="20"/>
                <w:lang w:eastAsia="en-AU"/>
              </w:rPr>
            </w:pPr>
            <w:r w:rsidRPr="00565A1C">
              <w:rPr>
                <w:rFonts w:cs="Arial"/>
                <w:b/>
                <w:sz w:val="20"/>
                <w:szCs w:val="20"/>
                <w:lang w:eastAsia="en-AU"/>
              </w:rPr>
              <w:t>19 Development on flood prone and major creeks land – additional heads of consideration</w:t>
            </w:r>
          </w:p>
          <w:p w:rsidR="00B37754" w:rsidRPr="00565A1C" w:rsidRDefault="00B37754" w:rsidP="00871ECB">
            <w:pPr>
              <w:spacing w:before="20" w:after="20"/>
              <w:jc w:val="both"/>
              <w:rPr>
                <w:rFonts w:cs="Arial"/>
                <w:sz w:val="20"/>
                <w:szCs w:val="20"/>
                <w:lang w:eastAsia="en-AU"/>
              </w:rPr>
            </w:pPr>
          </w:p>
          <w:p w:rsidR="002871CA" w:rsidRPr="00565A1C" w:rsidRDefault="00B37754" w:rsidP="00871ECB">
            <w:pPr>
              <w:spacing w:before="20" w:after="20"/>
              <w:jc w:val="both"/>
              <w:rPr>
                <w:rFonts w:cs="Arial"/>
                <w:sz w:val="20"/>
                <w:szCs w:val="20"/>
                <w:lang w:eastAsia="en-AU"/>
              </w:rPr>
            </w:pPr>
            <w:r w:rsidRPr="00565A1C">
              <w:rPr>
                <w:rFonts w:cs="Arial"/>
                <w:sz w:val="20"/>
                <w:szCs w:val="20"/>
                <w:lang w:eastAsia="en-AU"/>
              </w:rPr>
              <w:t xml:space="preserve">Development consent must not be granted to development on flood prone and major creeks land unless the consent authority </w:t>
            </w:r>
            <w:r w:rsidR="00DF21AC" w:rsidRPr="00565A1C">
              <w:rPr>
                <w:rFonts w:cs="Arial"/>
                <w:sz w:val="20"/>
                <w:szCs w:val="20"/>
                <w:lang w:eastAsia="en-AU"/>
              </w:rPr>
              <w:t>has taken into consideration</w:t>
            </w:r>
            <w:r w:rsidRPr="00565A1C">
              <w:rPr>
                <w:rFonts w:cs="Arial"/>
                <w:sz w:val="20"/>
                <w:szCs w:val="20"/>
                <w:lang w:eastAsia="en-AU"/>
              </w:rPr>
              <w:t xml:space="preserve"> a number of matters listed by this clause; including </w:t>
            </w:r>
            <w:r w:rsidR="00DF21AC" w:rsidRPr="00565A1C">
              <w:rPr>
                <w:rFonts w:cs="Arial"/>
                <w:sz w:val="20"/>
                <w:szCs w:val="20"/>
                <w:lang w:eastAsia="en-AU"/>
              </w:rPr>
              <w:t xml:space="preserve">adverse effects on flood </w:t>
            </w:r>
            <w:proofErr w:type="spellStart"/>
            <w:r w:rsidR="00DF21AC" w:rsidRPr="00565A1C">
              <w:rPr>
                <w:rFonts w:cs="Arial"/>
                <w:sz w:val="20"/>
                <w:szCs w:val="20"/>
                <w:lang w:eastAsia="en-AU"/>
              </w:rPr>
              <w:t>behaviour</w:t>
            </w:r>
            <w:proofErr w:type="spellEnd"/>
            <w:r w:rsidR="00DF21AC" w:rsidRPr="00565A1C">
              <w:rPr>
                <w:rFonts w:cs="Arial"/>
                <w:sz w:val="20"/>
                <w:szCs w:val="20"/>
                <w:lang w:eastAsia="en-AU"/>
              </w:rPr>
              <w:t xml:space="preserve"> and the ability to safely occupy the land.</w:t>
            </w:r>
          </w:p>
        </w:tc>
        <w:tc>
          <w:tcPr>
            <w:tcW w:w="3969" w:type="dxa"/>
          </w:tcPr>
          <w:p w:rsidR="00CF246F" w:rsidRDefault="00FC1D4E" w:rsidP="00871ECB">
            <w:pPr>
              <w:spacing w:before="20" w:after="20"/>
              <w:jc w:val="both"/>
              <w:rPr>
                <w:rFonts w:cs="Arial"/>
                <w:sz w:val="20"/>
                <w:szCs w:val="20"/>
                <w:lang w:eastAsia="en-AU"/>
              </w:rPr>
            </w:pPr>
            <w:r>
              <w:rPr>
                <w:rFonts w:cs="Arial"/>
                <w:sz w:val="20"/>
                <w:szCs w:val="20"/>
                <w:lang w:eastAsia="en-AU"/>
              </w:rPr>
              <w:t xml:space="preserve">Precinct planning mapping suggested that the R3 Medium Density Residential zoned portion of this site was not subject to flooding. However, updated flood modelling of the upstream catchment reveals that the extent of flooding is greater than previously mapped and will encroach upon the north east corner of the R3 </w:t>
            </w:r>
            <w:r w:rsidR="00CC6431">
              <w:rPr>
                <w:rFonts w:cs="Arial"/>
                <w:sz w:val="20"/>
                <w:szCs w:val="20"/>
                <w:lang w:eastAsia="en-AU"/>
              </w:rPr>
              <w:t>M</w:t>
            </w:r>
            <w:r>
              <w:rPr>
                <w:rFonts w:cs="Arial"/>
                <w:sz w:val="20"/>
                <w:szCs w:val="20"/>
                <w:lang w:eastAsia="en-AU"/>
              </w:rPr>
              <w:t xml:space="preserve">edium </w:t>
            </w:r>
            <w:r w:rsidR="00CC6431">
              <w:rPr>
                <w:rFonts w:cs="Arial"/>
                <w:sz w:val="20"/>
                <w:szCs w:val="20"/>
                <w:lang w:eastAsia="en-AU"/>
              </w:rPr>
              <w:t>D</w:t>
            </w:r>
            <w:r>
              <w:rPr>
                <w:rFonts w:cs="Arial"/>
                <w:sz w:val="20"/>
                <w:szCs w:val="20"/>
                <w:lang w:eastAsia="en-AU"/>
              </w:rPr>
              <w:t xml:space="preserve">ensity </w:t>
            </w:r>
            <w:r w:rsidR="00CC6431">
              <w:rPr>
                <w:rFonts w:cs="Arial"/>
                <w:sz w:val="20"/>
                <w:szCs w:val="20"/>
                <w:lang w:eastAsia="en-AU"/>
              </w:rPr>
              <w:t>R</w:t>
            </w:r>
            <w:r>
              <w:rPr>
                <w:rFonts w:cs="Arial"/>
                <w:sz w:val="20"/>
                <w:szCs w:val="20"/>
                <w:lang w:eastAsia="en-AU"/>
              </w:rPr>
              <w:t xml:space="preserve">esidential zoned portion of the site. The town </w:t>
            </w:r>
            <w:proofErr w:type="spellStart"/>
            <w:r>
              <w:rPr>
                <w:rFonts w:cs="Arial"/>
                <w:sz w:val="20"/>
                <w:szCs w:val="20"/>
                <w:lang w:eastAsia="en-AU"/>
              </w:rPr>
              <w:t>centre</w:t>
            </w:r>
            <w:proofErr w:type="spellEnd"/>
            <w:r>
              <w:rPr>
                <w:rFonts w:cs="Arial"/>
                <w:sz w:val="20"/>
                <w:szCs w:val="20"/>
                <w:lang w:eastAsia="en-AU"/>
              </w:rPr>
              <w:t xml:space="preserve"> road and the development have been designed to sit above the 1% AEP flood event.</w:t>
            </w:r>
          </w:p>
          <w:p w:rsidR="00275C57" w:rsidRDefault="00275C57" w:rsidP="00871ECB">
            <w:pPr>
              <w:spacing w:before="20" w:after="20"/>
              <w:jc w:val="both"/>
              <w:rPr>
                <w:rFonts w:cs="Arial"/>
                <w:sz w:val="20"/>
                <w:szCs w:val="20"/>
                <w:lang w:eastAsia="en-AU"/>
              </w:rPr>
            </w:pPr>
          </w:p>
          <w:p w:rsidR="00275C57" w:rsidRPr="00565A1C" w:rsidRDefault="00275C57" w:rsidP="00871ECB">
            <w:pPr>
              <w:spacing w:before="20" w:after="20"/>
              <w:jc w:val="both"/>
              <w:rPr>
                <w:rFonts w:cs="Arial"/>
                <w:sz w:val="20"/>
                <w:szCs w:val="20"/>
                <w:lang w:eastAsia="en-AU"/>
              </w:rPr>
            </w:pPr>
            <w:r>
              <w:rPr>
                <w:rFonts w:cs="Arial"/>
                <w:sz w:val="20"/>
                <w:szCs w:val="20"/>
                <w:lang w:eastAsia="en-AU"/>
              </w:rPr>
              <w:t>Council’s Engineers are satisfied that the works proposed in the interim case will not have adverse impacts in respect to localized flooding upon adjoining properties.</w:t>
            </w:r>
          </w:p>
        </w:tc>
        <w:tc>
          <w:tcPr>
            <w:tcW w:w="1843" w:type="dxa"/>
          </w:tcPr>
          <w:p w:rsidR="00CF246F" w:rsidRPr="00565A1C" w:rsidRDefault="00CF246F" w:rsidP="00871ECB">
            <w:pPr>
              <w:spacing w:before="20" w:after="20"/>
              <w:jc w:val="both"/>
              <w:rPr>
                <w:rFonts w:cs="Arial"/>
                <w:bCs/>
                <w:sz w:val="20"/>
                <w:szCs w:val="20"/>
                <w:lang w:eastAsia="en-AU"/>
              </w:rPr>
            </w:pPr>
            <w:r>
              <w:rPr>
                <w:rFonts w:cs="Arial"/>
                <w:bCs/>
                <w:sz w:val="20"/>
                <w:szCs w:val="20"/>
                <w:lang w:eastAsia="en-AU"/>
              </w:rPr>
              <w:t>Yes</w:t>
            </w:r>
          </w:p>
        </w:tc>
      </w:tr>
      <w:tr w:rsidR="00371B4C" w:rsidRPr="00C57030" w:rsidTr="00B8190E">
        <w:trPr>
          <w:trHeight w:val="214"/>
        </w:trPr>
        <w:tc>
          <w:tcPr>
            <w:tcW w:w="3970" w:type="dxa"/>
            <w:shd w:val="clear" w:color="auto" w:fill="A6A6A6" w:themeFill="background1" w:themeFillShade="A6"/>
          </w:tcPr>
          <w:p w:rsidR="00371B4C" w:rsidRPr="00565A1C" w:rsidRDefault="00371B4C" w:rsidP="00871ECB">
            <w:pPr>
              <w:spacing w:before="20" w:after="20"/>
              <w:jc w:val="both"/>
              <w:rPr>
                <w:rFonts w:cs="Arial"/>
                <w:sz w:val="20"/>
                <w:szCs w:val="20"/>
                <w:lang w:eastAsia="en-AU"/>
              </w:rPr>
            </w:pPr>
          </w:p>
        </w:tc>
        <w:tc>
          <w:tcPr>
            <w:tcW w:w="3969" w:type="dxa"/>
            <w:shd w:val="clear" w:color="auto" w:fill="A6A6A6" w:themeFill="background1" w:themeFillShade="A6"/>
          </w:tcPr>
          <w:p w:rsidR="00371B4C" w:rsidRPr="00565A1C" w:rsidRDefault="00371B4C" w:rsidP="00871ECB">
            <w:pPr>
              <w:spacing w:before="20" w:after="20"/>
              <w:jc w:val="both"/>
              <w:rPr>
                <w:rFonts w:cs="Arial"/>
                <w:sz w:val="20"/>
                <w:szCs w:val="20"/>
                <w:lang w:eastAsia="en-AU"/>
              </w:rPr>
            </w:pPr>
          </w:p>
        </w:tc>
        <w:tc>
          <w:tcPr>
            <w:tcW w:w="1843" w:type="dxa"/>
            <w:shd w:val="clear" w:color="auto" w:fill="A6A6A6" w:themeFill="background1" w:themeFillShade="A6"/>
          </w:tcPr>
          <w:p w:rsidR="00371B4C" w:rsidRPr="00565A1C" w:rsidRDefault="00371B4C" w:rsidP="00871ECB">
            <w:pPr>
              <w:spacing w:before="20" w:after="20"/>
              <w:jc w:val="both"/>
              <w:rPr>
                <w:rFonts w:cs="Arial"/>
                <w:bCs/>
                <w:sz w:val="20"/>
                <w:szCs w:val="20"/>
                <w:lang w:eastAsia="en-AU"/>
              </w:rPr>
            </w:pPr>
          </w:p>
        </w:tc>
      </w:tr>
      <w:tr w:rsidR="00371B4C" w:rsidRPr="00C57030" w:rsidTr="00B8190E">
        <w:trPr>
          <w:trHeight w:val="214"/>
        </w:trPr>
        <w:tc>
          <w:tcPr>
            <w:tcW w:w="3970" w:type="dxa"/>
            <w:shd w:val="clear" w:color="auto" w:fill="auto"/>
          </w:tcPr>
          <w:p w:rsidR="00371B4C" w:rsidRPr="00565A1C" w:rsidRDefault="00735B67" w:rsidP="00871ECB">
            <w:pPr>
              <w:spacing w:before="20" w:after="20"/>
              <w:jc w:val="both"/>
              <w:rPr>
                <w:rFonts w:cs="Arial"/>
                <w:b/>
                <w:sz w:val="20"/>
                <w:szCs w:val="20"/>
                <w:lang w:eastAsia="en-AU"/>
              </w:rPr>
            </w:pPr>
            <w:r w:rsidRPr="00565A1C">
              <w:rPr>
                <w:rFonts w:cs="Arial"/>
                <w:b/>
                <w:sz w:val="20"/>
                <w:szCs w:val="20"/>
                <w:lang w:eastAsia="en-AU"/>
              </w:rPr>
              <w:t>Appendix 9</w:t>
            </w:r>
            <w:r w:rsidR="00371B4C" w:rsidRPr="00565A1C">
              <w:rPr>
                <w:rFonts w:cs="Arial"/>
                <w:b/>
                <w:sz w:val="20"/>
                <w:szCs w:val="20"/>
                <w:lang w:eastAsia="en-AU"/>
              </w:rPr>
              <w:t>, 2.6 Subdivision – consent requirements</w:t>
            </w:r>
          </w:p>
          <w:p w:rsidR="00371B4C" w:rsidRPr="00565A1C" w:rsidRDefault="00371B4C" w:rsidP="00871ECB">
            <w:pPr>
              <w:spacing w:before="20" w:after="20"/>
              <w:jc w:val="both"/>
              <w:rPr>
                <w:rFonts w:cs="Arial"/>
                <w:sz w:val="20"/>
                <w:szCs w:val="20"/>
                <w:lang w:eastAsia="en-AU"/>
              </w:rPr>
            </w:pPr>
          </w:p>
          <w:p w:rsidR="00371B4C" w:rsidRPr="00565A1C" w:rsidRDefault="00371B4C" w:rsidP="00871ECB">
            <w:pPr>
              <w:spacing w:before="20" w:after="20"/>
              <w:jc w:val="both"/>
              <w:rPr>
                <w:rFonts w:cs="Arial"/>
                <w:sz w:val="20"/>
                <w:szCs w:val="20"/>
                <w:lang w:eastAsia="en-AU"/>
              </w:rPr>
            </w:pPr>
            <w:r w:rsidRPr="00565A1C">
              <w:rPr>
                <w:rFonts w:cs="Arial"/>
                <w:sz w:val="20"/>
                <w:szCs w:val="20"/>
                <w:lang w:eastAsia="en-AU"/>
              </w:rPr>
              <w:t>Development consent is required to subdivide land (unless the subdivision is exempt or complying development under another environmental planning instrument).</w:t>
            </w:r>
          </w:p>
        </w:tc>
        <w:tc>
          <w:tcPr>
            <w:tcW w:w="3969" w:type="dxa"/>
          </w:tcPr>
          <w:p w:rsidR="00371B4C" w:rsidRPr="00565A1C" w:rsidRDefault="00D82DE7" w:rsidP="00871ECB">
            <w:pPr>
              <w:spacing w:before="20" w:after="20"/>
              <w:jc w:val="both"/>
              <w:rPr>
                <w:rFonts w:cs="Arial"/>
                <w:sz w:val="20"/>
                <w:szCs w:val="20"/>
                <w:lang w:eastAsia="en-AU"/>
              </w:rPr>
            </w:pPr>
            <w:r w:rsidRPr="00D82DE7">
              <w:rPr>
                <w:rFonts w:cs="Arial"/>
                <w:sz w:val="20"/>
                <w:szCs w:val="20"/>
                <w:lang w:eastAsia="en-AU"/>
              </w:rPr>
              <w:t>The DA seeks development consent for the subdivision of land.</w:t>
            </w:r>
          </w:p>
        </w:tc>
        <w:tc>
          <w:tcPr>
            <w:tcW w:w="1843" w:type="dxa"/>
          </w:tcPr>
          <w:p w:rsidR="00371B4C" w:rsidRPr="00565A1C" w:rsidRDefault="00D82DE7" w:rsidP="00871ECB">
            <w:pPr>
              <w:spacing w:before="20" w:after="20"/>
              <w:jc w:val="both"/>
              <w:rPr>
                <w:rFonts w:cs="Arial"/>
                <w:bCs/>
                <w:sz w:val="20"/>
                <w:szCs w:val="20"/>
                <w:lang w:eastAsia="en-AU"/>
              </w:rPr>
            </w:pPr>
            <w:r>
              <w:rPr>
                <w:rFonts w:cs="Arial"/>
                <w:bCs/>
                <w:sz w:val="20"/>
                <w:szCs w:val="20"/>
                <w:lang w:eastAsia="en-AU"/>
              </w:rPr>
              <w:t>Yes</w:t>
            </w:r>
          </w:p>
        </w:tc>
      </w:tr>
      <w:tr w:rsidR="00371B4C" w:rsidRPr="00C57030" w:rsidTr="00B8190E">
        <w:trPr>
          <w:trHeight w:val="214"/>
        </w:trPr>
        <w:tc>
          <w:tcPr>
            <w:tcW w:w="3970" w:type="dxa"/>
            <w:shd w:val="clear" w:color="auto" w:fill="auto"/>
          </w:tcPr>
          <w:p w:rsidR="00371B4C" w:rsidRPr="00565A1C" w:rsidRDefault="007050B3" w:rsidP="00871ECB">
            <w:pPr>
              <w:spacing w:before="20" w:after="20"/>
              <w:jc w:val="both"/>
              <w:rPr>
                <w:rFonts w:cs="Arial"/>
                <w:b/>
                <w:sz w:val="20"/>
                <w:szCs w:val="20"/>
                <w:lang w:eastAsia="en-AU"/>
              </w:rPr>
            </w:pPr>
            <w:r w:rsidRPr="00565A1C">
              <w:rPr>
                <w:rFonts w:cs="Arial"/>
                <w:b/>
                <w:sz w:val="20"/>
                <w:szCs w:val="20"/>
                <w:lang w:eastAsia="en-AU"/>
              </w:rPr>
              <w:t>Appendix 9</w:t>
            </w:r>
            <w:r w:rsidR="00371B4C" w:rsidRPr="00565A1C">
              <w:rPr>
                <w:rFonts w:cs="Arial"/>
                <w:b/>
                <w:sz w:val="20"/>
                <w:szCs w:val="20"/>
                <w:lang w:eastAsia="en-AU"/>
              </w:rPr>
              <w:t>, 4.1 Minimum subdivision lot size</w:t>
            </w:r>
          </w:p>
          <w:p w:rsidR="00371B4C" w:rsidRPr="00565A1C" w:rsidRDefault="00371B4C" w:rsidP="00871ECB">
            <w:pPr>
              <w:spacing w:before="20" w:after="20"/>
              <w:jc w:val="both"/>
              <w:rPr>
                <w:rFonts w:cs="Arial"/>
                <w:sz w:val="20"/>
                <w:szCs w:val="20"/>
                <w:lang w:eastAsia="en-AU"/>
              </w:rPr>
            </w:pPr>
          </w:p>
          <w:p w:rsidR="00371B4C" w:rsidRPr="00565A1C" w:rsidRDefault="00371B4C" w:rsidP="00871ECB">
            <w:pPr>
              <w:spacing w:before="20" w:after="20"/>
              <w:jc w:val="both"/>
              <w:rPr>
                <w:rFonts w:cs="Arial"/>
                <w:sz w:val="20"/>
                <w:szCs w:val="20"/>
                <w:lang w:eastAsia="en-AU"/>
              </w:rPr>
            </w:pPr>
            <w:r w:rsidRPr="00565A1C">
              <w:rPr>
                <w:rFonts w:cs="Arial"/>
                <w:sz w:val="20"/>
                <w:szCs w:val="20"/>
                <w:lang w:eastAsia="en-AU"/>
              </w:rPr>
              <w:t>Lot sizes must not be less than the minimum lot size shown on the Lot Size Map.</w:t>
            </w:r>
          </w:p>
          <w:p w:rsidR="00371B4C" w:rsidRPr="00565A1C" w:rsidRDefault="00371B4C" w:rsidP="00871ECB">
            <w:pPr>
              <w:spacing w:before="20" w:after="20"/>
              <w:jc w:val="both"/>
              <w:rPr>
                <w:rFonts w:cs="Arial"/>
                <w:sz w:val="20"/>
                <w:szCs w:val="20"/>
                <w:lang w:eastAsia="en-AU"/>
              </w:rPr>
            </w:pPr>
          </w:p>
          <w:p w:rsidR="00371B4C" w:rsidRPr="00565A1C" w:rsidRDefault="00371B4C" w:rsidP="00871ECB">
            <w:pPr>
              <w:spacing w:before="20" w:after="20"/>
              <w:jc w:val="both"/>
              <w:rPr>
                <w:rFonts w:cs="Arial"/>
                <w:sz w:val="20"/>
                <w:szCs w:val="20"/>
                <w:lang w:eastAsia="en-AU"/>
              </w:rPr>
            </w:pPr>
            <w:r w:rsidRPr="00565A1C">
              <w:rPr>
                <w:rFonts w:cs="Arial"/>
                <w:sz w:val="20"/>
                <w:szCs w:val="20"/>
                <w:lang w:eastAsia="en-AU"/>
              </w:rPr>
              <w:t>This clause does not apply in relation to the subdivision of individual lots in a strata plan or community title scheme.</w:t>
            </w:r>
          </w:p>
        </w:tc>
        <w:tc>
          <w:tcPr>
            <w:tcW w:w="3969" w:type="dxa"/>
          </w:tcPr>
          <w:p w:rsidR="00712251" w:rsidRPr="00565A1C" w:rsidRDefault="00712251" w:rsidP="00871ECB">
            <w:pPr>
              <w:spacing w:before="20" w:after="20"/>
              <w:jc w:val="both"/>
              <w:rPr>
                <w:rFonts w:cs="Arial"/>
                <w:sz w:val="20"/>
                <w:szCs w:val="20"/>
                <w:lang w:eastAsia="en-AU"/>
              </w:rPr>
            </w:pPr>
            <w:r>
              <w:rPr>
                <w:rFonts w:cs="Arial"/>
                <w:sz w:val="20"/>
                <w:szCs w:val="20"/>
                <w:lang w:eastAsia="en-AU"/>
              </w:rPr>
              <w:t xml:space="preserve">No minimum lot size </w:t>
            </w:r>
            <w:r w:rsidR="008172ED">
              <w:rPr>
                <w:rFonts w:cs="Arial"/>
                <w:sz w:val="20"/>
                <w:szCs w:val="20"/>
                <w:lang w:eastAsia="en-AU"/>
              </w:rPr>
              <w:t>applies to this development site on the lot size map.</w:t>
            </w:r>
          </w:p>
        </w:tc>
        <w:tc>
          <w:tcPr>
            <w:tcW w:w="1843" w:type="dxa"/>
          </w:tcPr>
          <w:p w:rsidR="00712251" w:rsidRPr="00565A1C" w:rsidRDefault="00712251" w:rsidP="00871ECB">
            <w:pPr>
              <w:spacing w:before="20" w:after="20"/>
              <w:jc w:val="both"/>
              <w:rPr>
                <w:rFonts w:cs="Arial"/>
                <w:bCs/>
                <w:sz w:val="20"/>
                <w:szCs w:val="20"/>
                <w:lang w:eastAsia="en-AU"/>
              </w:rPr>
            </w:pPr>
            <w:r>
              <w:rPr>
                <w:rFonts w:cs="Arial"/>
                <w:bCs/>
                <w:sz w:val="20"/>
                <w:szCs w:val="20"/>
                <w:lang w:eastAsia="en-AU"/>
              </w:rPr>
              <w:t>NA</w:t>
            </w:r>
          </w:p>
        </w:tc>
      </w:tr>
      <w:tr w:rsidR="00371B4C" w:rsidRPr="00C57030" w:rsidTr="00B8190E">
        <w:trPr>
          <w:trHeight w:val="214"/>
        </w:trPr>
        <w:tc>
          <w:tcPr>
            <w:tcW w:w="3970" w:type="dxa"/>
            <w:shd w:val="clear" w:color="auto" w:fill="auto"/>
          </w:tcPr>
          <w:p w:rsidR="00371B4C" w:rsidRPr="00565A1C" w:rsidRDefault="00C04003" w:rsidP="00871ECB">
            <w:pPr>
              <w:spacing w:before="20" w:after="20"/>
              <w:jc w:val="both"/>
              <w:rPr>
                <w:rFonts w:cs="Arial"/>
                <w:b/>
                <w:sz w:val="20"/>
                <w:szCs w:val="20"/>
                <w:lang w:eastAsia="en-AU"/>
              </w:rPr>
            </w:pPr>
            <w:r w:rsidRPr="00565A1C">
              <w:rPr>
                <w:rFonts w:cs="Arial"/>
                <w:b/>
                <w:sz w:val="20"/>
                <w:szCs w:val="20"/>
                <w:lang w:eastAsia="en-AU"/>
              </w:rPr>
              <w:t>Appendix 9</w:t>
            </w:r>
            <w:r w:rsidR="00371B4C" w:rsidRPr="00565A1C">
              <w:rPr>
                <w:rFonts w:cs="Arial"/>
                <w:b/>
                <w:sz w:val="20"/>
                <w:szCs w:val="20"/>
                <w:lang w:eastAsia="en-AU"/>
              </w:rPr>
              <w:t xml:space="preserve">, 4.1AB Minimum lot sizes for </w:t>
            </w:r>
            <w:r w:rsidR="00052D4D" w:rsidRPr="00565A1C">
              <w:rPr>
                <w:rFonts w:cs="Arial"/>
                <w:b/>
                <w:sz w:val="20"/>
                <w:szCs w:val="20"/>
                <w:lang w:eastAsia="en-AU"/>
              </w:rPr>
              <w:t>residential development in Zone R2 Low Density Residential and Zone R3 Medium Density Residential</w:t>
            </w:r>
          </w:p>
          <w:p w:rsidR="00371B4C" w:rsidRPr="00565A1C" w:rsidRDefault="00371B4C" w:rsidP="00871ECB">
            <w:pPr>
              <w:spacing w:before="20" w:after="20"/>
              <w:jc w:val="both"/>
              <w:rPr>
                <w:rFonts w:cs="Arial"/>
                <w:b/>
                <w:sz w:val="20"/>
                <w:szCs w:val="20"/>
                <w:lang w:eastAsia="en-AU"/>
              </w:rPr>
            </w:pPr>
          </w:p>
          <w:p w:rsidR="00BA2F8D" w:rsidRPr="00565A1C" w:rsidRDefault="00BA2F8D" w:rsidP="00871ECB">
            <w:pPr>
              <w:spacing w:before="20" w:after="20"/>
              <w:jc w:val="both"/>
              <w:rPr>
                <w:rFonts w:cs="Arial"/>
                <w:sz w:val="20"/>
                <w:szCs w:val="20"/>
                <w:lang w:eastAsia="en-AU"/>
              </w:rPr>
            </w:pPr>
            <w:r w:rsidRPr="00565A1C">
              <w:rPr>
                <w:rFonts w:cs="Arial"/>
                <w:sz w:val="20"/>
                <w:szCs w:val="20"/>
                <w:lang w:eastAsia="en-AU"/>
              </w:rPr>
              <w:t>On land zoned:</w:t>
            </w:r>
          </w:p>
          <w:p w:rsidR="00BA2F8D" w:rsidRPr="00565A1C" w:rsidRDefault="00BA2F8D" w:rsidP="00871ECB">
            <w:pPr>
              <w:spacing w:before="20" w:after="20"/>
              <w:jc w:val="both"/>
              <w:rPr>
                <w:rFonts w:cs="Arial"/>
                <w:sz w:val="20"/>
                <w:szCs w:val="20"/>
                <w:lang w:eastAsia="en-AU"/>
              </w:rPr>
            </w:pPr>
          </w:p>
          <w:p w:rsidR="00BA2F8D" w:rsidRPr="00565A1C" w:rsidRDefault="00BA2F8D" w:rsidP="00871ECB">
            <w:pPr>
              <w:pStyle w:val="ListParagraph"/>
              <w:numPr>
                <w:ilvl w:val="0"/>
                <w:numId w:val="1"/>
              </w:numPr>
              <w:spacing w:before="20" w:after="20"/>
              <w:jc w:val="both"/>
              <w:rPr>
                <w:rFonts w:cs="Arial"/>
                <w:sz w:val="20"/>
                <w:szCs w:val="20"/>
                <w:lang w:eastAsia="en-AU"/>
              </w:rPr>
            </w:pPr>
            <w:r w:rsidRPr="00565A1C">
              <w:rPr>
                <w:rFonts w:cs="Arial"/>
                <w:sz w:val="20"/>
                <w:szCs w:val="20"/>
                <w:lang w:eastAsia="en-AU"/>
              </w:rPr>
              <w:t>R2 Low Density Residential, or</w:t>
            </w:r>
          </w:p>
          <w:p w:rsidR="00BA2F8D" w:rsidRPr="00565A1C" w:rsidRDefault="00BA2F8D" w:rsidP="00871ECB">
            <w:pPr>
              <w:pStyle w:val="ListParagraph"/>
              <w:numPr>
                <w:ilvl w:val="0"/>
                <w:numId w:val="1"/>
              </w:numPr>
              <w:spacing w:before="20" w:after="20"/>
              <w:jc w:val="both"/>
              <w:rPr>
                <w:rFonts w:cs="Arial"/>
                <w:sz w:val="20"/>
                <w:szCs w:val="20"/>
                <w:lang w:eastAsia="en-AU"/>
              </w:rPr>
            </w:pPr>
            <w:r w:rsidRPr="00565A1C">
              <w:rPr>
                <w:rFonts w:cs="Arial"/>
                <w:sz w:val="20"/>
                <w:szCs w:val="20"/>
                <w:lang w:eastAsia="en-AU"/>
              </w:rPr>
              <w:t>R3 Medium Density Residential,</w:t>
            </w:r>
          </w:p>
          <w:p w:rsidR="00371B4C" w:rsidRPr="00565A1C" w:rsidRDefault="00371B4C" w:rsidP="00871ECB">
            <w:pPr>
              <w:spacing w:before="20" w:after="20"/>
              <w:jc w:val="both"/>
              <w:rPr>
                <w:rFonts w:cs="Arial"/>
                <w:sz w:val="20"/>
                <w:szCs w:val="20"/>
                <w:lang w:eastAsia="en-AU"/>
              </w:rPr>
            </w:pPr>
          </w:p>
          <w:p w:rsidR="00BA2F8D" w:rsidRPr="007B72E6" w:rsidRDefault="00BA2F8D" w:rsidP="00871ECB">
            <w:pPr>
              <w:shd w:val="clear" w:color="auto" w:fill="FFFFFF"/>
              <w:jc w:val="both"/>
              <w:rPr>
                <w:rFonts w:cs="Arial"/>
                <w:color w:val="000000"/>
                <w:sz w:val="20"/>
                <w:szCs w:val="20"/>
                <w:lang w:eastAsia="en-AU"/>
              </w:rPr>
            </w:pPr>
            <w:r w:rsidRPr="007B72E6">
              <w:rPr>
                <w:rFonts w:cs="Arial"/>
                <w:color w:val="000000"/>
                <w:sz w:val="20"/>
                <w:szCs w:val="20"/>
                <w:lang w:eastAsia="en-AU"/>
              </w:rPr>
              <w:t>The minimum lot size for a residential flat building is 2,000m</w:t>
            </w:r>
            <w:r w:rsidRPr="007B72E6">
              <w:rPr>
                <w:rFonts w:cs="Arial"/>
                <w:color w:val="000000"/>
                <w:sz w:val="20"/>
                <w:szCs w:val="20"/>
                <w:vertAlign w:val="superscript"/>
                <w:lang w:eastAsia="en-AU"/>
              </w:rPr>
              <w:t>2</w:t>
            </w:r>
            <w:r w:rsidRPr="007B72E6">
              <w:rPr>
                <w:rFonts w:cs="Arial"/>
                <w:color w:val="000000"/>
                <w:sz w:val="20"/>
                <w:szCs w:val="20"/>
                <w:lang w:eastAsia="en-AU"/>
              </w:rPr>
              <w:t xml:space="preserve"> if the dwelling density (per hectare) shown on the Residential Density Map in relation to the land is 25.</w:t>
            </w:r>
          </w:p>
        </w:tc>
        <w:tc>
          <w:tcPr>
            <w:tcW w:w="3969" w:type="dxa"/>
          </w:tcPr>
          <w:p w:rsidR="009F1182" w:rsidRPr="009F1182" w:rsidRDefault="009F1182" w:rsidP="00871ECB">
            <w:pPr>
              <w:spacing w:before="20" w:after="20"/>
              <w:jc w:val="both"/>
              <w:rPr>
                <w:rFonts w:cs="Arial"/>
                <w:sz w:val="20"/>
                <w:szCs w:val="20"/>
                <w:lang w:eastAsia="en-AU"/>
              </w:rPr>
            </w:pPr>
            <w:r>
              <w:rPr>
                <w:rFonts w:cs="Arial"/>
                <w:sz w:val="20"/>
                <w:szCs w:val="20"/>
                <w:lang w:eastAsia="en-AU"/>
              </w:rPr>
              <w:t>A lot area of 18,283m</w:t>
            </w:r>
            <w:r>
              <w:rPr>
                <w:rFonts w:cs="Arial"/>
                <w:sz w:val="20"/>
                <w:szCs w:val="20"/>
                <w:vertAlign w:val="superscript"/>
                <w:lang w:eastAsia="en-AU"/>
              </w:rPr>
              <w:t xml:space="preserve">2 </w:t>
            </w:r>
            <w:r>
              <w:rPr>
                <w:rFonts w:cs="Arial"/>
                <w:sz w:val="20"/>
                <w:szCs w:val="20"/>
                <w:lang w:eastAsia="en-AU"/>
              </w:rPr>
              <w:t>is proposed to house the mixed-use development.</w:t>
            </w:r>
          </w:p>
          <w:p w:rsidR="008172ED" w:rsidRPr="00565A1C" w:rsidRDefault="008172ED" w:rsidP="00871ECB">
            <w:pPr>
              <w:spacing w:before="20" w:after="20"/>
              <w:jc w:val="both"/>
              <w:rPr>
                <w:rFonts w:cs="Arial"/>
                <w:sz w:val="20"/>
                <w:szCs w:val="20"/>
                <w:lang w:eastAsia="en-AU"/>
              </w:rPr>
            </w:pPr>
          </w:p>
        </w:tc>
        <w:tc>
          <w:tcPr>
            <w:tcW w:w="1843" w:type="dxa"/>
          </w:tcPr>
          <w:p w:rsidR="008172ED" w:rsidRPr="00565A1C" w:rsidRDefault="008172ED" w:rsidP="00871ECB">
            <w:pPr>
              <w:spacing w:before="20" w:after="20"/>
              <w:jc w:val="both"/>
              <w:rPr>
                <w:rFonts w:cs="Arial"/>
                <w:bCs/>
                <w:sz w:val="20"/>
                <w:szCs w:val="20"/>
                <w:lang w:eastAsia="en-AU"/>
              </w:rPr>
            </w:pPr>
            <w:r>
              <w:rPr>
                <w:rFonts w:cs="Arial"/>
                <w:bCs/>
                <w:sz w:val="20"/>
                <w:szCs w:val="20"/>
                <w:lang w:eastAsia="en-AU"/>
              </w:rPr>
              <w:t>Yes</w:t>
            </w:r>
          </w:p>
        </w:tc>
      </w:tr>
      <w:tr w:rsidR="00371B4C" w:rsidRPr="00C57030" w:rsidTr="00B8190E">
        <w:trPr>
          <w:trHeight w:val="214"/>
        </w:trPr>
        <w:tc>
          <w:tcPr>
            <w:tcW w:w="3970" w:type="dxa"/>
            <w:shd w:val="clear" w:color="auto" w:fill="auto"/>
          </w:tcPr>
          <w:p w:rsidR="00371B4C" w:rsidRPr="00565A1C" w:rsidRDefault="00301B00" w:rsidP="00871ECB">
            <w:pPr>
              <w:spacing w:before="20" w:after="20"/>
              <w:jc w:val="both"/>
              <w:rPr>
                <w:rFonts w:cs="Arial"/>
                <w:sz w:val="20"/>
                <w:szCs w:val="20"/>
                <w:lang w:eastAsia="en-AU"/>
              </w:rPr>
            </w:pPr>
            <w:r w:rsidRPr="00565A1C">
              <w:rPr>
                <w:rFonts w:cs="Arial"/>
                <w:b/>
                <w:sz w:val="20"/>
                <w:szCs w:val="20"/>
                <w:lang w:eastAsia="en-AU"/>
              </w:rPr>
              <w:t>Appendix 9</w:t>
            </w:r>
            <w:r w:rsidR="00371B4C" w:rsidRPr="00565A1C">
              <w:rPr>
                <w:rFonts w:cs="Arial"/>
                <w:b/>
                <w:sz w:val="20"/>
                <w:szCs w:val="20"/>
                <w:lang w:eastAsia="en-AU"/>
              </w:rPr>
              <w:t>, 4.1B Residential Density</w:t>
            </w:r>
          </w:p>
          <w:p w:rsidR="00371B4C" w:rsidRPr="00565A1C" w:rsidRDefault="00371B4C" w:rsidP="00871ECB">
            <w:pPr>
              <w:shd w:val="clear" w:color="auto" w:fill="FFFFFF"/>
              <w:jc w:val="both"/>
              <w:rPr>
                <w:rFonts w:cs="Arial"/>
                <w:color w:val="000000"/>
                <w:sz w:val="20"/>
                <w:szCs w:val="20"/>
                <w:lang w:eastAsia="en-AU"/>
              </w:rPr>
            </w:pPr>
          </w:p>
          <w:p w:rsidR="00371B4C" w:rsidRPr="00565A1C" w:rsidRDefault="00F3541B" w:rsidP="00871ECB">
            <w:pPr>
              <w:shd w:val="clear" w:color="auto" w:fill="FFFFFF"/>
              <w:jc w:val="both"/>
              <w:rPr>
                <w:rFonts w:cs="Arial"/>
                <w:color w:val="000000"/>
                <w:sz w:val="20"/>
                <w:szCs w:val="20"/>
                <w:lang w:eastAsia="en-AU"/>
              </w:rPr>
            </w:pPr>
            <w:r w:rsidRPr="00565A1C">
              <w:rPr>
                <w:rFonts w:cs="Arial"/>
                <w:color w:val="000000"/>
                <w:sz w:val="20"/>
                <w:szCs w:val="20"/>
                <w:lang w:eastAsia="en-AU"/>
              </w:rPr>
              <w:lastRenderedPageBreak/>
              <w:t>This clause applies to residential development of the kind referred to in clause 4.1</w:t>
            </w:r>
            <w:proofErr w:type="gramStart"/>
            <w:r w:rsidRPr="00565A1C">
              <w:rPr>
                <w:rFonts w:cs="Arial"/>
                <w:color w:val="000000"/>
                <w:sz w:val="20"/>
                <w:szCs w:val="20"/>
                <w:lang w:eastAsia="en-AU"/>
              </w:rPr>
              <w:t>AB(</w:t>
            </w:r>
            <w:proofErr w:type="gramEnd"/>
            <w:r w:rsidRPr="00565A1C">
              <w:rPr>
                <w:rFonts w:cs="Arial"/>
                <w:color w:val="000000"/>
                <w:sz w:val="20"/>
                <w:szCs w:val="20"/>
                <w:lang w:eastAsia="en-AU"/>
              </w:rPr>
              <w:t>3) or 4.1AC.</w:t>
            </w:r>
          </w:p>
          <w:p w:rsidR="00371B4C" w:rsidRPr="00565A1C" w:rsidRDefault="00371B4C" w:rsidP="00871ECB">
            <w:pPr>
              <w:shd w:val="clear" w:color="auto" w:fill="FFFFFF"/>
              <w:jc w:val="both"/>
              <w:rPr>
                <w:rFonts w:cs="Arial"/>
                <w:color w:val="000000"/>
                <w:sz w:val="20"/>
                <w:szCs w:val="20"/>
                <w:lang w:eastAsia="en-AU"/>
              </w:rPr>
            </w:pPr>
          </w:p>
          <w:p w:rsidR="00371B4C" w:rsidRPr="00565A1C" w:rsidRDefault="00F3541B" w:rsidP="00871ECB">
            <w:pPr>
              <w:shd w:val="clear" w:color="auto" w:fill="FFFFFF"/>
              <w:jc w:val="both"/>
              <w:rPr>
                <w:rFonts w:cs="Arial"/>
                <w:color w:val="000000"/>
                <w:sz w:val="20"/>
                <w:szCs w:val="20"/>
                <w:lang w:eastAsia="en-AU"/>
              </w:rPr>
            </w:pPr>
            <w:r w:rsidRPr="00565A1C">
              <w:rPr>
                <w:rFonts w:cs="Arial"/>
                <w:color w:val="000000"/>
                <w:sz w:val="20"/>
                <w:szCs w:val="20"/>
                <w:lang w:eastAsia="en-AU"/>
              </w:rPr>
              <w:t>The density of any residential development to which this clause applies is not to be less than the density shown on the Residential Density Map in relation to that land.</w:t>
            </w:r>
          </w:p>
        </w:tc>
        <w:tc>
          <w:tcPr>
            <w:tcW w:w="3969" w:type="dxa"/>
          </w:tcPr>
          <w:p w:rsidR="00371B4C" w:rsidRPr="00275C57" w:rsidRDefault="00591D52" w:rsidP="00275C57">
            <w:pPr>
              <w:jc w:val="both"/>
              <w:rPr>
                <w:rFonts w:cs="Arial"/>
                <w:sz w:val="20"/>
                <w:szCs w:val="20"/>
                <w:lang w:eastAsia="en-AU"/>
              </w:rPr>
            </w:pPr>
            <w:r>
              <w:rPr>
                <w:rFonts w:cs="Arial"/>
                <w:sz w:val="20"/>
                <w:szCs w:val="20"/>
                <w:lang w:eastAsia="en-AU"/>
              </w:rPr>
              <w:lastRenderedPageBreak/>
              <w:t>Clauses 4.1</w:t>
            </w:r>
            <w:proofErr w:type="gramStart"/>
            <w:r>
              <w:rPr>
                <w:rFonts w:cs="Arial"/>
                <w:sz w:val="20"/>
                <w:szCs w:val="20"/>
                <w:lang w:eastAsia="en-AU"/>
              </w:rPr>
              <w:t>AB(</w:t>
            </w:r>
            <w:proofErr w:type="gramEnd"/>
            <w:r>
              <w:rPr>
                <w:rFonts w:cs="Arial"/>
                <w:sz w:val="20"/>
                <w:szCs w:val="20"/>
                <w:lang w:eastAsia="en-AU"/>
              </w:rPr>
              <w:t xml:space="preserve">3) and 4.1AC relate to dwelling and secondary dwelling development. As such, the proposed development is not subject to this development standard. Nevertheless, </w:t>
            </w:r>
            <w:r>
              <w:rPr>
                <w:rFonts w:cs="Arial"/>
                <w:sz w:val="20"/>
                <w:szCs w:val="20"/>
                <w:lang w:eastAsia="en-AU"/>
              </w:rPr>
              <w:lastRenderedPageBreak/>
              <w:t xml:space="preserve">based on the NDA </w:t>
            </w:r>
            <w:r w:rsidR="00D82DE7" w:rsidRPr="00275C57">
              <w:rPr>
                <w:rFonts w:cs="Arial"/>
                <w:sz w:val="20"/>
                <w:szCs w:val="20"/>
                <w:lang w:eastAsia="en-AU"/>
              </w:rPr>
              <w:t xml:space="preserve">provided, the development proposes a density of </w:t>
            </w:r>
            <w:r w:rsidR="00275C57" w:rsidRPr="00275C57">
              <w:rPr>
                <w:rFonts w:cs="Arial"/>
                <w:sz w:val="20"/>
                <w:szCs w:val="20"/>
                <w:lang w:eastAsia="en-AU"/>
              </w:rPr>
              <w:t>163.9</w:t>
            </w:r>
            <w:r w:rsidR="00D82DE7" w:rsidRPr="00275C57">
              <w:rPr>
                <w:rFonts w:cs="Arial"/>
                <w:sz w:val="20"/>
                <w:szCs w:val="20"/>
                <w:lang w:eastAsia="en-AU"/>
              </w:rPr>
              <w:t xml:space="preserve"> dwellings per hectare.</w:t>
            </w:r>
          </w:p>
          <w:p w:rsidR="00866285" w:rsidRPr="00591D52" w:rsidRDefault="00085024" w:rsidP="00275C57">
            <w:pPr>
              <w:jc w:val="both"/>
              <w:rPr>
                <w:rFonts w:cs="Arial"/>
                <w:sz w:val="20"/>
                <w:szCs w:val="20"/>
                <w:lang w:eastAsia="en-AU"/>
              </w:rPr>
            </w:pPr>
            <w:r>
              <w:rPr>
                <w:rFonts w:cs="Arial"/>
                <w:sz w:val="20"/>
                <w:szCs w:val="20"/>
                <w:lang w:eastAsia="en-AU"/>
              </w:rPr>
              <w:t>(</w:t>
            </w:r>
            <w:r w:rsidR="00866285" w:rsidRPr="00275C57">
              <w:rPr>
                <w:rFonts w:cs="Arial"/>
                <w:sz w:val="20"/>
                <w:szCs w:val="20"/>
                <w:lang w:eastAsia="en-AU"/>
              </w:rPr>
              <w:t>2</w:t>
            </w:r>
            <w:r w:rsidR="00275C57" w:rsidRPr="00275C57">
              <w:rPr>
                <w:rFonts w:cs="Arial"/>
                <w:sz w:val="20"/>
                <w:szCs w:val="20"/>
                <w:lang w:eastAsia="en-AU"/>
              </w:rPr>
              <w:t>.6601 HA</w:t>
            </w:r>
            <w:r w:rsidR="00866285" w:rsidRPr="00275C57">
              <w:rPr>
                <w:rFonts w:cs="Arial"/>
                <w:sz w:val="20"/>
                <w:szCs w:val="20"/>
                <w:lang w:eastAsia="en-AU"/>
              </w:rPr>
              <w:t xml:space="preserve"> NDA area / </w:t>
            </w:r>
            <w:r w:rsidR="00D3564B" w:rsidRPr="00275C57">
              <w:rPr>
                <w:rFonts w:cs="Arial"/>
                <w:sz w:val="20"/>
                <w:szCs w:val="20"/>
                <w:lang w:eastAsia="en-AU"/>
              </w:rPr>
              <w:t>436</w:t>
            </w:r>
            <w:r w:rsidR="00866285" w:rsidRPr="00275C57">
              <w:rPr>
                <w:rFonts w:cs="Arial"/>
                <w:sz w:val="20"/>
                <w:szCs w:val="20"/>
                <w:lang w:eastAsia="en-AU"/>
              </w:rPr>
              <w:t xml:space="preserve"> Dwellings</w:t>
            </w:r>
            <w:r>
              <w:rPr>
                <w:rFonts w:cs="Arial"/>
                <w:sz w:val="20"/>
                <w:szCs w:val="20"/>
                <w:lang w:eastAsia="en-AU"/>
              </w:rPr>
              <w:t>)</w:t>
            </w:r>
          </w:p>
        </w:tc>
        <w:tc>
          <w:tcPr>
            <w:tcW w:w="1843" w:type="dxa"/>
          </w:tcPr>
          <w:p w:rsidR="008172ED" w:rsidRPr="00565A1C" w:rsidRDefault="00591D52" w:rsidP="00871ECB">
            <w:pPr>
              <w:spacing w:before="20" w:after="20"/>
              <w:jc w:val="both"/>
              <w:rPr>
                <w:rFonts w:cs="Arial"/>
                <w:bCs/>
                <w:sz w:val="20"/>
                <w:szCs w:val="20"/>
                <w:lang w:eastAsia="en-AU"/>
              </w:rPr>
            </w:pPr>
            <w:r>
              <w:rPr>
                <w:rFonts w:cs="Arial"/>
                <w:bCs/>
                <w:sz w:val="20"/>
                <w:szCs w:val="20"/>
                <w:lang w:eastAsia="en-AU"/>
              </w:rPr>
              <w:lastRenderedPageBreak/>
              <w:t>NA</w:t>
            </w:r>
          </w:p>
        </w:tc>
      </w:tr>
      <w:tr w:rsidR="00371B4C" w:rsidRPr="00C57030" w:rsidTr="00B8190E">
        <w:trPr>
          <w:trHeight w:val="214"/>
        </w:trPr>
        <w:tc>
          <w:tcPr>
            <w:tcW w:w="3970" w:type="dxa"/>
            <w:shd w:val="clear" w:color="auto" w:fill="auto"/>
          </w:tcPr>
          <w:p w:rsidR="00371B4C" w:rsidRPr="00565A1C" w:rsidRDefault="00371B4C" w:rsidP="00871ECB">
            <w:pPr>
              <w:spacing w:before="20" w:after="20"/>
              <w:jc w:val="both"/>
              <w:rPr>
                <w:rFonts w:cs="Arial"/>
                <w:b/>
                <w:sz w:val="20"/>
                <w:szCs w:val="20"/>
                <w:lang w:eastAsia="en-AU"/>
              </w:rPr>
            </w:pPr>
            <w:r w:rsidRPr="00565A1C">
              <w:rPr>
                <w:rFonts w:cs="Arial"/>
                <w:b/>
                <w:sz w:val="20"/>
                <w:szCs w:val="20"/>
                <w:lang w:eastAsia="en-AU"/>
              </w:rPr>
              <w:t xml:space="preserve">Appendix </w:t>
            </w:r>
            <w:r w:rsidR="00781102" w:rsidRPr="00565A1C">
              <w:rPr>
                <w:rFonts w:cs="Arial"/>
                <w:b/>
                <w:sz w:val="20"/>
                <w:szCs w:val="20"/>
                <w:lang w:eastAsia="en-AU"/>
              </w:rPr>
              <w:t>9</w:t>
            </w:r>
            <w:r w:rsidRPr="00565A1C">
              <w:rPr>
                <w:rFonts w:cs="Arial"/>
                <w:b/>
                <w:sz w:val="20"/>
                <w:szCs w:val="20"/>
                <w:lang w:eastAsia="en-AU"/>
              </w:rPr>
              <w:t>, 4.3 Height of buildings</w:t>
            </w:r>
          </w:p>
          <w:p w:rsidR="00371B4C" w:rsidRPr="00565A1C" w:rsidRDefault="00371B4C" w:rsidP="00871ECB">
            <w:pPr>
              <w:spacing w:before="20" w:after="20"/>
              <w:jc w:val="both"/>
              <w:rPr>
                <w:rFonts w:cs="Arial"/>
                <w:sz w:val="20"/>
                <w:szCs w:val="20"/>
                <w:lang w:eastAsia="en-AU"/>
              </w:rPr>
            </w:pPr>
          </w:p>
          <w:p w:rsidR="00371B4C" w:rsidRDefault="00371B4C" w:rsidP="00871ECB">
            <w:pPr>
              <w:spacing w:before="20" w:after="20"/>
              <w:jc w:val="both"/>
              <w:rPr>
                <w:rFonts w:cs="Arial"/>
                <w:sz w:val="20"/>
                <w:szCs w:val="20"/>
                <w:lang w:eastAsia="en-AU"/>
              </w:rPr>
            </w:pPr>
            <w:r w:rsidRPr="00565A1C">
              <w:rPr>
                <w:rFonts w:cs="Arial"/>
                <w:sz w:val="20"/>
                <w:szCs w:val="20"/>
                <w:lang w:eastAsia="en-AU"/>
              </w:rPr>
              <w:t xml:space="preserve">Maximum buildings heights must not exceed the maximum building height shown </w:t>
            </w:r>
            <w:r w:rsidR="00781102" w:rsidRPr="00565A1C">
              <w:rPr>
                <w:rFonts w:cs="Arial"/>
                <w:sz w:val="20"/>
                <w:szCs w:val="20"/>
                <w:lang w:eastAsia="en-AU"/>
              </w:rPr>
              <w:t>on the Height of Buildings Map.</w:t>
            </w:r>
          </w:p>
          <w:p w:rsidR="007E031D" w:rsidRDefault="007E031D" w:rsidP="00871ECB">
            <w:pPr>
              <w:spacing w:before="20" w:after="20"/>
              <w:jc w:val="both"/>
              <w:rPr>
                <w:rFonts w:cs="Arial"/>
                <w:sz w:val="20"/>
                <w:szCs w:val="20"/>
                <w:lang w:eastAsia="en-AU"/>
              </w:rPr>
            </w:pPr>
          </w:p>
          <w:p w:rsidR="007E031D" w:rsidRPr="00565A1C" w:rsidRDefault="007E031D" w:rsidP="00871ECB">
            <w:pPr>
              <w:spacing w:before="20" w:after="20"/>
              <w:jc w:val="both"/>
              <w:rPr>
                <w:rFonts w:cs="Arial"/>
                <w:sz w:val="20"/>
                <w:szCs w:val="20"/>
                <w:lang w:eastAsia="en-AU"/>
              </w:rPr>
            </w:pPr>
            <w:r>
              <w:rPr>
                <w:rFonts w:cs="Arial"/>
                <w:sz w:val="20"/>
                <w:szCs w:val="20"/>
                <w:lang w:eastAsia="en-AU"/>
              </w:rPr>
              <w:t>R – 21m</w:t>
            </w:r>
          </w:p>
        </w:tc>
        <w:tc>
          <w:tcPr>
            <w:tcW w:w="3969" w:type="dxa"/>
          </w:tcPr>
          <w:p w:rsidR="007E031D" w:rsidRPr="00565A1C" w:rsidRDefault="007E031D" w:rsidP="00871ECB">
            <w:pPr>
              <w:spacing w:before="20" w:after="20"/>
              <w:jc w:val="both"/>
              <w:rPr>
                <w:rFonts w:cs="Arial"/>
                <w:sz w:val="20"/>
                <w:szCs w:val="20"/>
                <w:lang w:eastAsia="en-AU"/>
              </w:rPr>
            </w:pPr>
            <w:r>
              <w:rPr>
                <w:rFonts w:cs="Arial"/>
                <w:sz w:val="20"/>
                <w:szCs w:val="20"/>
                <w:lang w:eastAsia="en-AU"/>
              </w:rPr>
              <w:t>21.25m (Building D – 21.07m and Building E – 21.25m)</w:t>
            </w:r>
          </w:p>
        </w:tc>
        <w:tc>
          <w:tcPr>
            <w:tcW w:w="1843" w:type="dxa"/>
          </w:tcPr>
          <w:p w:rsidR="007E031D" w:rsidRPr="00565A1C" w:rsidRDefault="007E031D" w:rsidP="00871ECB">
            <w:pPr>
              <w:spacing w:before="20" w:after="20"/>
              <w:jc w:val="both"/>
              <w:rPr>
                <w:rFonts w:cs="Arial"/>
                <w:bCs/>
                <w:sz w:val="20"/>
                <w:szCs w:val="20"/>
                <w:lang w:eastAsia="en-AU"/>
              </w:rPr>
            </w:pPr>
            <w:r>
              <w:rPr>
                <w:rFonts w:cs="Arial"/>
                <w:bCs/>
                <w:sz w:val="20"/>
                <w:szCs w:val="20"/>
                <w:lang w:eastAsia="en-AU"/>
              </w:rPr>
              <w:t>No</w:t>
            </w:r>
            <w:r w:rsidR="00633F36">
              <w:rPr>
                <w:rFonts w:cs="Arial"/>
                <w:bCs/>
                <w:sz w:val="20"/>
                <w:szCs w:val="20"/>
                <w:lang w:eastAsia="en-AU"/>
              </w:rPr>
              <w:t xml:space="preserve"> – Clause 4.6 variation request lodged. See below.</w:t>
            </w:r>
          </w:p>
        </w:tc>
      </w:tr>
      <w:tr w:rsidR="00125407" w:rsidRPr="00C57030" w:rsidTr="00B8190E">
        <w:trPr>
          <w:trHeight w:val="214"/>
        </w:trPr>
        <w:tc>
          <w:tcPr>
            <w:tcW w:w="3970" w:type="dxa"/>
            <w:shd w:val="clear" w:color="auto" w:fill="auto"/>
          </w:tcPr>
          <w:p w:rsidR="00125407" w:rsidRPr="00565A1C" w:rsidRDefault="00125407" w:rsidP="00871ECB">
            <w:pPr>
              <w:spacing w:before="20" w:after="20"/>
              <w:jc w:val="both"/>
              <w:rPr>
                <w:rFonts w:cs="Arial"/>
                <w:b/>
                <w:sz w:val="20"/>
                <w:szCs w:val="20"/>
                <w:lang w:eastAsia="en-AU"/>
              </w:rPr>
            </w:pPr>
            <w:r w:rsidRPr="00565A1C">
              <w:rPr>
                <w:rFonts w:cs="Arial"/>
                <w:b/>
                <w:sz w:val="20"/>
                <w:szCs w:val="20"/>
                <w:lang w:eastAsia="en-AU"/>
              </w:rPr>
              <w:t>Appendix 9, 4.4 Floor space ratio</w:t>
            </w:r>
          </w:p>
          <w:p w:rsidR="00125407" w:rsidRPr="00565A1C" w:rsidRDefault="00125407" w:rsidP="00871ECB">
            <w:pPr>
              <w:spacing w:before="20" w:after="20"/>
              <w:jc w:val="both"/>
              <w:rPr>
                <w:rFonts w:cs="Arial"/>
                <w:b/>
                <w:sz w:val="20"/>
                <w:szCs w:val="20"/>
                <w:lang w:eastAsia="en-AU"/>
              </w:rPr>
            </w:pPr>
          </w:p>
          <w:p w:rsidR="00125407" w:rsidRPr="00565A1C" w:rsidRDefault="00987401" w:rsidP="00871ECB">
            <w:pPr>
              <w:spacing w:before="20" w:after="20"/>
              <w:jc w:val="both"/>
              <w:rPr>
                <w:rFonts w:cs="Arial"/>
                <w:b/>
                <w:sz w:val="20"/>
                <w:szCs w:val="20"/>
                <w:lang w:eastAsia="en-AU"/>
              </w:rPr>
            </w:pPr>
            <w:r w:rsidRPr="00565A1C">
              <w:rPr>
                <w:rFonts w:cs="Arial"/>
                <w:color w:val="000000"/>
                <w:sz w:val="20"/>
                <w:szCs w:val="20"/>
              </w:rPr>
              <w:t>The floor space ratio for a building on any land is not to exceed the maximum floor space ratio shown for the land on the Floor Space Ratio Map.</w:t>
            </w:r>
          </w:p>
        </w:tc>
        <w:tc>
          <w:tcPr>
            <w:tcW w:w="3969" w:type="dxa"/>
          </w:tcPr>
          <w:p w:rsidR="00247D93" w:rsidRPr="00565A1C" w:rsidRDefault="00247D93" w:rsidP="00871ECB">
            <w:pPr>
              <w:spacing w:before="20" w:after="20"/>
              <w:jc w:val="both"/>
              <w:rPr>
                <w:rFonts w:cs="Arial"/>
                <w:sz w:val="20"/>
                <w:szCs w:val="20"/>
                <w:lang w:eastAsia="en-AU"/>
              </w:rPr>
            </w:pPr>
            <w:r>
              <w:rPr>
                <w:rFonts w:cs="Arial"/>
                <w:sz w:val="20"/>
                <w:szCs w:val="20"/>
                <w:lang w:eastAsia="en-AU"/>
              </w:rPr>
              <w:t>The development site is not subject to a floor space ratio development standard.</w:t>
            </w:r>
          </w:p>
        </w:tc>
        <w:tc>
          <w:tcPr>
            <w:tcW w:w="1843" w:type="dxa"/>
          </w:tcPr>
          <w:p w:rsidR="00247D93" w:rsidRPr="00565A1C" w:rsidRDefault="00247D93" w:rsidP="00871ECB">
            <w:pPr>
              <w:spacing w:before="20" w:after="20"/>
              <w:jc w:val="both"/>
              <w:rPr>
                <w:rFonts w:cs="Arial"/>
                <w:bCs/>
                <w:sz w:val="20"/>
                <w:szCs w:val="20"/>
                <w:lang w:eastAsia="en-AU"/>
              </w:rPr>
            </w:pPr>
            <w:r>
              <w:rPr>
                <w:rFonts w:cs="Arial"/>
                <w:bCs/>
                <w:sz w:val="20"/>
                <w:szCs w:val="20"/>
                <w:lang w:eastAsia="en-AU"/>
              </w:rPr>
              <w:t>NA</w:t>
            </w:r>
          </w:p>
        </w:tc>
      </w:tr>
      <w:tr w:rsidR="00371B4C" w:rsidRPr="00C57030" w:rsidTr="00B8190E">
        <w:trPr>
          <w:trHeight w:val="214"/>
        </w:trPr>
        <w:tc>
          <w:tcPr>
            <w:tcW w:w="3970" w:type="dxa"/>
            <w:shd w:val="clear" w:color="auto" w:fill="auto"/>
          </w:tcPr>
          <w:p w:rsidR="00371B4C" w:rsidRPr="00565A1C" w:rsidRDefault="008B274D" w:rsidP="00871ECB">
            <w:pPr>
              <w:spacing w:before="20" w:after="20"/>
              <w:jc w:val="both"/>
              <w:rPr>
                <w:rFonts w:cs="Arial"/>
                <w:b/>
                <w:sz w:val="20"/>
                <w:szCs w:val="20"/>
                <w:lang w:eastAsia="en-AU"/>
              </w:rPr>
            </w:pPr>
            <w:r w:rsidRPr="00565A1C">
              <w:rPr>
                <w:rFonts w:cs="Arial"/>
                <w:b/>
                <w:sz w:val="20"/>
                <w:szCs w:val="20"/>
                <w:lang w:eastAsia="en-AU"/>
              </w:rPr>
              <w:t>Appendix 9</w:t>
            </w:r>
            <w:r w:rsidR="00371B4C" w:rsidRPr="00565A1C">
              <w:rPr>
                <w:rFonts w:cs="Arial"/>
                <w:b/>
                <w:sz w:val="20"/>
                <w:szCs w:val="20"/>
                <w:lang w:eastAsia="en-AU"/>
              </w:rPr>
              <w:t>, 4.6 Exceptions to development standards</w:t>
            </w:r>
          </w:p>
          <w:p w:rsidR="00371B4C" w:rsidRPr="00565A1C" w:rsidRDefault="00371B4C" w:rsidP="00871ECB">
            <w:pPr>
              <w:spacing w:before="20" w:after="20"/>
              <w:jc w:val="both"/>
              <w:rPr>
                <w:rFonts w:cs="Arial"/>
                <w:sz w:val="20"/>
                <w:szCs w:val="20"/>
                <w:lang w:eastAsia="en-AU"/>
              </w:rPr>
            </w:pPr>
          </w:p>
          <w:p w:rsidR="00371B4C" w:rsidRPr="00565A1C" w:rsidRDefault="00371B4C" w:rsidP="00871ECB">
            <w:pPr>
              <w:spacing w:before="20" w:after="20"/>
              <w:jc w:val="both"/>
              <w:rPr>
                <w:rFonts w:cs="Arial"/>
                <w:sz w:val="20"/>
                <w:szCs w:val="20"/>
                <w:lang w:eastAsia="en-AU"/>
              </w:rPr>
            </w:pPr>
            <w:r w:rsidRPr="00565A1C">
              <w:rPr>
                <w:rFonts w:cs="Arial"/>
                <w:sz w:val="20"/>
                <w:szCs w:val="20"/>
                <w:lang w:eastAsia="en-AU"/>
              </w:rPr>
              <w:t>Development consent may be granted for development that contravenes a development standard imposed by the SEPP or any other environmental planning instrument.</w:t>
            </w:r>
          </w:p>
          <w:p w:rsidR="00371B4C" w:rsidRPr="00565A1C" w:rsidRDefault="00371B4C" w:rsidP="00871ECB">
            <w:pPr>
              <w:spacing w:before="20" w:after="20"/>
              <w:jc w:val="both"/>
              <w:rPr>
                <w:rFonts w:cs="Arial"/>
                <w:sz w:val="20"/>
                <w:szCs w:val="20"/>
                <w:lang w:eastAsia="en-AU"/>
              </w:rPr>
            </w:pPr>
          </w:p>
          <w:p w:rsidR="00371B4C" w:rsidRPr="00565A1C" w:rsidRDefault="00371B4C" w:rsidP="00871ECB">
            <w:pPr>
              <w:spacing w:before="20" w:after="20"/>
              <w:jc w:val="both"/>
              <w:rPr>
                <w:rFonts w:cs="Arial"/>
                <w:sz w:val="20"/>
                <w:szCs w:val="20"/>
                <w:lang w:eastAsia="en-AU"/>
              </w:rPr>
            </w:pPr>
            <w:r w:rsidRPr="00565A1C">
              <w:rPr>
                <w:rFonts w:cs="Arial"/>
                <w:sz w:val="20"/>
                <w:szCs w:val="20"/>
                <w:lang w:eastAsia="en-AU"/>
              </w:rPr>
              <w:t xml:space="preserve">The consent authority must consider a written request from the applicant that seeks to justify the </w:t>
            </w:r>
            <w:r w:rsidR="00093B56">
              <w:rPr>
                <w:rFonts w:cs="Arial"/>
                <w:sz w:val="20"/>
                <w:szCs w:val="20"/>
                <w:lang w:eastAsia="en-AU"/>
              </w:rPr>
              <w:t>contravention</w:t>
            </w:r>
            <w:r w:rsidRPr="00565A1C">
              <w:rPr>
                <w:rFonts w:cs="Arial"/>
                <w:sz w:val="20"/>
                <w:szCs w:val="20"/>
                <w:lang w:eastAsia="en-AU"/>
              </w:rPr>
              <w:t xml:space="preserve"> by demonstrating that:</w:t>
            </w:r>
          </w:p>
          <w:p w:rsidR="00371B4C" w:rsidRPr="00565A1C" w:rsidRDefault="00371B4C" w:rsidP="00871ECB">
            <w:pPr>
              <w:spacing w:before="20" w:after="20"/>
              <w:jc w:val="both"/>
              <w:rPr>
                <w:rFonts w:cs="Arial"/>
                <w:sz w:val="20"/>
                <w:szCs w:val="20"/>
                <w:lang w:eastAsia="en-AU"/>
              </w:rPr>
            </w:pPr>
          </w:p>
          <w:p w:rsidR="00371B4C" w:rsidRPr="00565A1C" w:rsidRDefault="00371B4C" w:rsidP="00871ECB">
            <w:pPr>
              <w:pStyle w:val="ListParagraph"/>
              <w:numPr>
                <w:ilvl w:val="0"/>
                <w:numId w:val="2"/>
              </w:numPr>
              <w:spacing w:before="20" w:after="20"/>
              <w:ind w:left="460" w:hanging="460"/>
              <w:jc w:val="both"/>
              <w:rPr>
                <w:rFonts w:cs="Arial"/>
                <w:sz w:val="20"/>
                <w:szCs w:val="20"/>
                <w:lang w:eastAsia="en-AU"/>
              </w:rPr>
            </w:pPr>
            <w:r w:rsidRPr="00565A1C">
              <w:rPr>
                <w:rFonts w:cs="Arial"/>
                <w:color w:val="000000"/>
                <w:sz w:val="20"/>
                <w:szCs w:val="20"/>
              </w:rPr>
              <w:t>that compliance with the development standard is unreasonable or unnecessary in the circumstances of the case, and</w:t>
            </w:r>
          </w:p>
          <w:p w:rsidR="00371B4C" w:rsidRPr="00565A1C" w:rsidRDefault="00371B4C" w:rsidP="00871ECB">
            <w:pPr>
              <w:pStyle w:val="ListParagraph"/>
              <w:spacing w:before="20" w:after="20"/>
              <w:ind w:left="460" w:hanging="460"/>
              <w:jc w:val="both"/>
              <w:rPr>
                <w:rFonts w:cs="Arial"/>
                <w:sz w:val="20"/>
                <w:szCs w:val="20"/>
                <w:lang w:eastAsia="en-AU"/>
              </w:rPr>
            </w:pPr>
          </w:p>
          <w:p w:rsidR="00371B4C" w:rsidRPr="00565A1C" w:rsidRDefault="00371B4C" w:rsidP="00871ECB">
            <w:pPr>
              <w:pStyle w:val="ListParagraph"/>
              <w:numPr>
                <w:ilvl w:val="0"/>
                <w:numId w:val="2"/>
              </w:numPr>
              <w:spacing w:before="20" w:after="20"/>
              <w:ind w:left="460" w:hanging="460"/>
              <w:jc w:val="both"/>
              <w:rPr>
                <w:rFonts w:cs="Arial"/>
                <w:sz w:val="20"/>
                <w:szCs w:val="20"/>
                <w:lang w:eastAsia="en-AU"/>
              </w:rPr>
            </w:pPr>
            <w:r w:rsidRPr="00565A1C">
              <w:rPr>
                <w:rFonts w:cs="Arial"/>
                <w:color w:val="000000"/>
                <w:sz w:val="20"/>
                <w:szCs w:val="20"/>
              </w:rPr>
              <w:t>that there are sufficient environmental planning grounds to justify contravening the development standard.</w:t>
            </w:r>
          </w:p>
          <w:p w:rsidR="00371B4C" w:rsidRPr="00565A1C" w:rsidRDefault="00371B4C" w:rsidP="00871ECB">
            <w:pPr>
              <w:pStyle w:val="ListParagraph"/>
              <w:spacing w:before="20" w:after="20"/>
              <w:jc w:val="both"/>
              <w:rPr>
                <w:rFonts w:cs="Arial"/>
                <w:sz w:val="20"/>
                <w:szCs w:val="20"/>
                <w:lang w:eastAsia="en-AU"/>
              </w:rPr>
            </w:pPr>
          </w:p>
          <w:p w:rsidR="00371B4C" w:rsidRPr="00565A1C" w:rsidRDefault="00371B4C" w:rsidP="00871ECB">
            <w:pPr>
              <w:spacing w:before="20" w:after="20"/>
              <w:jc w:val="both"/>
              <w:rPr>
                <w:rFonts w:cs="Arial"/>
                <w:sz w:val="20"/>
                <w:szCs w:val="20"/>
                <w:lang w:eastAsia="en-AU"/>
              </w:rPr>
            </w:pPr>
            <w:r w:rsidRPr="00565A1C">
              <w:rPr>
                <w:rFonts w:cs="Arial"/>
                <w:sz w:val="20"/>
                <w:szCs w:val="20"/>
                <w:lang w:eastAsia="en-AU"/>
              </w:rPr>
              <w:t>Development consent musty not granted unless:</w:t>
            </w:r>
          </w:p>
          <w:p w:rsidR="00371B4C" w:rsidRPr="00565A1C" w:rsidRDefault="00371B4C" w:rsidP="00871ECB">
            <w:pPr>
              <w:spacing w:before="20" w:after="20"/>
              <w:jc w:val="both"/>
              <w:rPr>
                <w:rFonts w:cs="Arial"/>
                <w:sz w:val="20"/>
                <w:szCs w:val="20"/>
                <w:lang w:eastAsia="en-AU"/>
              </w:rPr>
            </w:pPr>
          </w:p>
          <w:p w:rsidR="00371B4C" w:rsidRPr="00565A1C" w:rsidRDefault="00371B4C" w:rsidP="00871ECB">
            <w:pPr>
              <w:pStyle w:val="ListParagraph"/>
              <w:numPr>
                <w:ilvl w:val="0"/>
                <w:numId w:val="3"/>
              </w:numPr>
              <w:spacing w:before="20" w:after="20"/>
              <w:ind w:left="460" w:hanging="460"/>
              <w:jc w:val="both"/>
              <w:rPr>
                <w:rFonts w:cs="Arial"/>
                <w:sz w:val="20"/>
                <w:szCs w:val="20"/>
                <w:lang w:eastAsia="en-AU"/>
              </w:rPr>
            </w:pPr>
            <w:r w:rsidRPr="00565A1C">
              <w:rPr>
                <w:rFonts w:cs="Arial"/>
                <w:sz w:val="20"/>
                <w:szCs w:val="20"/>
                <w:lang w:eastAsia="en-AU"/>
              </w:rPr>
              <w:t>the consent authority is satisfied that:</w:t>
            </w:r>
          </w:p>
          <w:p w:rsidR="00371B4C" w:rsidRPr="00565A1C" w:rsidRDefault="00371B4C" w:rsidP="00871ECB">
            <w:pPr>
              <w:spacing w:before="20" w:after="20"/>
              <w:jc w:val="both"/>
              <w:rPr>
                <w:rFonts w:cs="Arial"/>
                <w:sz w:val="20"/>
                <w:szCs w:val="20"/>
                <w:lang w:eastAsia="en-AU"/>
              </w:rPr>
            </w:pPr>
          </w:p>
          <w:p w:rsidR="00371B4C" w:rsidRPr="00565A1C" w:rsidRDefault="00371B4C" w:rsidP="00871ECB">
            <w:pPr>
              <w:pStyle w:val="ListParagraph"/>
              <w:numPr>
                <w:ilvl w:val="0"/>
                <w:numId w:val="4"/>
              </w:numPr>
              <w:shd w:val="clear" w:color="auto" w:fill="FFFFFF"/>
              <w:spacing w:before="20" w:after="20"/>
              <w:jc w:val="both"/>
              <w:rPr>
                <w:rFonts w:cs="Arial"/>
                <w:color w:val="000000"/>
                <w:sz w:val="20"/>
                <w:szCs w:val="20"/>
                <w:lang w:eastAsia="en-AU"/>
              </w:rPr>
            </w:pPr>
            <w:r w:rsidRPr="00565A1C">
              <w:rPr>
                <w:rFonts w:cs="Arial"/>
                <w:color w:val="000000"/>
                <w:sz w:val="20"/>
                <w:szCs w:val="20"/>
                <w:lang w:eastAsia="en-AU"/>
              </w:rPr>
              <w:t>the applicant’s written request has adequately addressed the matters required to be demonstrated, and</w:t>
            </w:r>
          </w:p>
          <w:p w:rsidR="00371B4C" w:rsidRPr="00565A1C" w:rsidRDefault="00371B4C" w:rsidP="00871ECB">
            <w:pPr>
              <w:pStyle w:val="ListParagraph"/>
              <w:shd w:val="clear" w:color="auto" w:fill="FFFFFF"/>
              <w:spacing w:before="20" w:after="20"/>
              <w:jc w:val="both"/>
              <w:rPr>
                <w:rFonts w:cs="Arial"/>
                <w:color w:val="000000"/>
                <w:sz w:val="20"/>
                <w:szCs w:val="20"/>
                <w:lang w:eastAsia="en-AU"/>
              </w:rPr>
            </w:pPr>
          </w:p>
          <w:p w:rsidR="00371B4C" w:rsidRPr="00565A1C" w:rsidRDefault="00371B4C" w:rsidP="00871ECB">
            <w:pPr>
              <w:pStyle w:val="ListParagraph"/>
              <w:numPr>
                <w:ilvl w:val="0"/>
                <w:numId w:val="4"/>
              </w:numPr>
              <w:shd w:val="clear" w:color="auto" w:fill="FFFFFF"/>
              <w:spacing w:before="20" w:after="20"/>
              <w:jc w:val="both"/>
              <w:rPr>
                <w:rFonts w:cs="Arial"/>
                <w:color w:val="000000"/>
                <w:sz w:val="20"/>
                <w:szCs w:val="20"/>
                <w:lang w:eastAsia="en-AU"/>
              </w:rPr>
            </w:pPr>
            <w:r w:rsidRPr="00565A1C">
              <w:rPr>
                <w:rFonts w:cs="Arial"/>
                <w:color w:val="000000"/>
                <w:sz w:val="20"/>
                <w:szCs w:val="20"/>
                <w:lang w:eastAsia="en-AU"/>
              </w:rPr>
              <w:t xml:space="preserve">the proposed development will be in the public interest because it is consistent with the objectives of </w:t>
            </w:r>
            <w:r w:rsidRPr="00565A1C">
              <w:rPr>
                <w:rFonts w:cs="Arial"/>
                <w:color w:val="000000"/>
                <w:sz w:val="20"/>
                <w:szCs w:val="20"/>
                <w:lang w:eastAsia="en-AU"/>
              </w:rPr>
              <w:lastRenderedPageBreak/>
              <w:t>the particular standard and the objectives for development within the zone in which the development is proposed to be carried out, and</w:t>
            </w:r>
          </w:p>
          <w:p w:rsidR="00371B4C" w:rsidRPr="00565A1C" w:rsidRDefault="00371B4C" w:rsidP="00871ECB">
            <w:pPr>
              <w:shd w:val="clear" w:color="auto" w:fill="FFFFFF"/>
              <w:spacing w:before="20" w:after="20"/>
              <w:jc w:val="both"/>
              <w:rPr>
                <w:rFonts w:cs="Arial"/>
                <w:color w:val="000000"/>
                <w:sz w:val="20"/>
                <w:szCs w:val="20"/>
                <w:lang w:eastAsia="en-AU"/>
              </w:rPr>
            </w:pPr>
          </w:p>
          <w:p w:rsidR="00371B4C" w:rsidRPr="00565A1C" w:rsidRDefault="00371B4C" w:rsidP="00871ECB">
            <w:pPr>
              <w:pStyle w:val="ListParagraph"/>
              <w:numPr>
                <w:ilvl w:val="0"/>
                <w:numId w:val="3"/>
              </w:numPr>
              <w:shd w:val="clear" w:color="auto" w:fill="FFFFFF"/>
              <w:spacing w:before="20" w:after="20"/>
              <w:ind w:left="460" w:hanging="460"/>
              <w:jc w:val="both"/>
              <w:rPr>
                <w:rFonts w:cs="Arial"/>
                <w:color w:val="000000"/>
                <w:sz w:val="20"/>
                <w:szCs w:val="20"/>
                <w:lang w:eastAsia="en-AU"/>
              </w:rPr>
            </w:pPr>
            <w:r w:rsidRPr="00565A1C">
              <w:rPr>
                <w:rFonts w:cs="Arial"/>
                <w:color w:val="000000"/>
                <w:sz w:val="20"/>
                <w:szCs w:val="20"/>
                <w:lang w:eastAsia="en-AU"/>
              </w:rPr>
              <w:t>the concurrence of the Secretary has been obtained.</w:t>
            </w:r>
          </w:p>
          <w:p w:rsidR="00371B4C" w:rsidRPr="00565A1C" w:rsidRDefault="00371B4C" w:rsidP="00871ECB">
            <w:pPr>
              <w:shd w:val="clear" w:color="auto" w:fill="FFFFFF"/>
              <w:spacing w:before="20" w:after="20"/>
              <w:jc w:val="both"/>
              <w:rPr>
                <w:rFonts w:cs="Arial"/>
                <w:color w:val="000000"/>
                <w:sz w:val="20"/>
                <w:szCs w:val="20"/>
                <w:lang w:eastAsia="en-AU"/>
              </w:rPr>
            </w:pPr>
          </w:p>
          <w:p w:rsidR="00371B4C" w:rsidRPr="00565A1C" w:rsidRDefault="00371B4C" w:rsidP="00871ECB">
            <w:pPr>
              <w:shd w:val="clear" w:color="auto" w:fill="FFFFFF"/>
              <w:spacing w:before="20" w:after="20"/>
              <w:jc w:val="both"/>
              <w:rPr>
                <w:rFonts w:cs="Arial"/>
                <w:color w:val="000000"/>
                <w:sz w:val="20"/>
                <w:szCs w:val="20"/>
                <w:lang w:eastAsia="en-AU"/>
              </w:rPr>
            </w:pPr>
            <w:r w:rsidRPr="00565A1C">
              <w:rPr>
                <w:rFonts w:cs="Arial"/>
                <w:color w:val="000000"/>
                <w:sz w:val="20"/>
                <w:szCs w:val="20"/>
                <w:lang w:eastAsia="en-AU"/>
              </w:rPr>
              <w:t xml:space="preserve">This clause prohibits the approval of development standard </w:t>
            </w:r>
            <w:r w:rsidR="00093B56">
              <w:rPr>
                <w:rFonts w:cs="Arial"/>
                <w:color w:val="000000"/>
                <w:sz w:val="20"/>
                <w:szCs w:val="20"/>
                <w:lang w:eastAsia="en-AU"/>
              </w:rPr>
              <w:t>contraventions</w:t>
            </w:r>
            <w:r w:rsidRPr="00565A1C">
              <w:rPr>
                <w:rFonts w:cs="Arial"/>
                <w:color w:val="000000"/>
                <w:sz w:val="20"/>
                <w:szCs w:val="20"/>
                <w:lang w:eastAsia="en-AU"/>
              </w:rPr>
              <w:t xml:space="preserve"> for certain subdivisions of land in some rural and environmental zones.</w:t>
            </w:r>
          </w:p>
        </w:tc>
        <w:tc>
          <w:tcPr>
            <w:tcW w:w="3969" w:type="dxa"/>
          </w:tcPr>
          <w:p w:rsidR="00247D93" w:rsidRPr="00565A1C" w:rsidRDefault="00247D93" w:rsidP="00871ECB">
            <w:pPr>
              <w:spacing w:before="20" w:after="20"/>
              <w:jc w:val="both"/>
              <w:rPr>
                <w:rFonts w:cs="Arial"/>
                <w:sz w:val="20"/>
                <w:szCs w:val="20"/>
                <w:lang w:eastAsia="en-AU"/>
              </w:rPr>
            </w:pPr>
            <w:r>
              <w:rPr>
                <w:rFonts w:cs="Arial"/>
                <w:sz w:val="20"/>
                <w:szCs w:val="20"/>
                <w:lang w:eastAsia="en-AU"/>
              </w:rPr>
              <w:lastRenderedPageBreak/>
              <w:t xml:space="preserve">A </w:t>
            </w:r>
            <w:r w:rsidR="00492AD1">
              <w:rPr>
                <w:rFonts w:cs="Arial"/>
                <w:sz w:val="20"/>
                <w:szCs w:val="20"/>
                <w:lang w:eastAsia="en-AU"/>
              </w:rPr>
              <w:t xml:space="preserve">Clause 4.6 </w:t>
            </w:r>
            <w:r>
              <w:rPr>
                <w:rFonts w:cs="Arial"/>
                <w:sz w:val="20"/>
                <w:szCs w:val="20"/>
                <w:lang w:eastAsia="en-AU"/>
              </w:rPr>
              <w:t>written request has been submitted with the application. Consideration of the written request is made in the assessment report.</w:t>
            </w:r>
          </w:p>
        </w:tc>
        <w:tc>
          <w:tcPr>
            <w:tcW w:w="1843" w:type="dxa"/>
          </w:tcPr>
          <w:p w:rsidR="00371B4C" w:rsidRPr="00565A1C" w:rsidRDefault="00D82DE7" w:rsidP="00871ECB">
            <w:pPr>
              <w:spacing w:before="20" w:after="20"/>
              <w:jc w:val="both"/>
              <w:rPr>
                <w:rFonts w:cs="Arial"/>
                <w:bCs/>
                <w:sz w:val="20"/>
                <w:szCs w:val="20"/>
                <w:lang w:eastAsia="en-AU"/>
              </w:rPr>
            </w:pPr>
            <w:r>
              <w:rPr>
                <w:rFonts w:cs="Arial"/>
                <w:bCs/>
                <w:sz w:val="20"/>
                <w:szCs w:val="20"/>
                <w:lang w:eastAsia="en-AU"/>
              </w:rPr>
              <w:t>Yes</w:t>
            </w:r>
          </w:p>
        </w:tc>
      </w:tr>
      <w:tr w:rsidR="008172ED" w:rsidRPr="00C57030" w:rsidTr="00B8190E">
        <w:trPr>
          <w:trHeight w:val="214"/>
        </w:trPr>
        <w:tc>
          <w:tcPr>
            <w:tcW w:w="3970" w:type="dxa"/>
            <w:shd w:val="clear" w:color="auto" w:fill="auto"/>
          </w:tcPr>
          <w:p w:rsidR="008172ED" w:rsidRDefault="008172ED" w:rsidP="00871ECB">
            <w:pPr>
              <w:spacing w:before="20" w:after="20"/>
              <w:jc w:val="both"/>
              <w:rPr>
                <w:rFonts w:cs="Arial"/>
                <w:b/>
                <w:sz w:val="20"/>
                <w:szCs w:val="20"/>
                <w:lang w:eastAsia="en-AU"/>
              </w:rPr>
            </w:pPr>
            <w:r w:rsidRPr="00565A1C">
              <w:rPr>
                <w:rFonts w:cs="Arial"/>
                <w:b/>
                <w:sz w:val="20"/>
                <w:szCs w:val="20"/>
                <w:lang w:eastAsia="en-AU"/>
              </w:rPr>
              <w:t>Appendix 9, 5.</w:t>
            </w:r>
            <w:r>
              <w:rPr>
                <w:rFonts w:cs="Arial"/>
                <w:b/>
                <w:sz w:val="20"/>
                <w:szCs w:val="20"/>
                <w:lang w:eastAsia="en-AU"/>
              </w:rPr>
              <w:t>1</w:t>
            </w:r>
            <w:r w:rsidRPr="00565A1C">
              <w:rPr>
                <w:rFonts w:cs="Arial"/>
                <w:b/>
                <w:sz w:val="20"/>
                <w:szCs w:val="20"/>
                <w:lang w:eastAsia="en-AU"/>
              </w:rPr>
              <w:t xml:space="preserve"> </w:t>
            </w:r>
            <w:r>
              <w:rPr>
                <w:rFonts w:cs="Arial"/>
                <w:b/>
                <w:sz w:val="20"/>
                <w:szCs w:val="20"/>
                <w:lang w:eastAsia="en-AU"/>
              </w:rPr>
              <w:t>Relevant acquisition authority</w:t>
            </w:r>
          </w:p>
          <w:p w:rsidR="008172ED" w:rsidRDefault="008172ED" w:rsidP="00871ECB">
            <w:pPr>
              <w:spacing w:before="20" w:after="20"/>
              <w:jc w:val="both"/>
              <w:rPr>
                <w:rFonts w:cs="Arial"/>
                <w:b/>
                <w:sz w:val="20"/>
                <w:szCs w:val="20"/>
                <w:lang w:eastAsia="en-AU"/>
              </w:rPr>
            </w:pPr>
          </w:p>
          <w:p w:rsidR="008172ED" w:rsidRPr="008172ED" w:rsidRDefault="008172ED" w:rsidP="00871ECB">
            <w:pPr>
              <w:spacing w:before="20" w:after="20"/>
              <w:jc w:val="both"/>
              <w:rPr>
                <w:rFonts w:cs="Arial"/>
                <w:bCs/>
                <w:sz w:val="20"/>
                <w:szCs w:val="20"/>
                <w:lang w:eastAsia="en-AU"/>
              </w:rPr>
            </w:pPr>
            <w:r>
              <w:rPr>
                <w:rFonts w:cs="Arial"/>
                <w:bCs/>
                <w:sz w:val="20"/>
                <w:szCs w:val="20"/>
                <w:lang w:eastAsia="en-AU"/>
              </w:rPr>
              <w:t>(3) Development on land acquired by an authority of the State under the owner-initiated acquisition provisions may, before it is used for the purpose for which it is reserved, be carried out, with development consent, for any purpose.</w:t>
            </w:r>
          </w:p>
          <w:p w:rsidR="008172ED" w:rsidRPr="00565A1C" w:rsidRDefault="008172ED" w:rsidP="00871ECB">
            <w:pPr>
              <w:spacing w:before="20" w:after="20"/>
              <w:jc w:val="both"/>
              <w:rPr>
                <w:rFonts w:cs="Arial"/>
                <w:b/>
                <w:sz w:val="20"/>
                <w:szCs w:val="20"/>
                <w:lang w:eastAsia="en-AU"/>
              </w:rPr>
            </w:pPr>
          </w:p>
        </w:tc>
        <w:tc>
          <w:tcPr>
            <w:tcW w:w="3969" w:type="dxa"/>
          </w:tcPr>
          <w:p w:rsidR="008172ED" w:rsidRDefault="00262093" w:rsidP="00871ECB">
            <w:pPr>
              <w:spacing w:before="20" w:after="20"/>
              <w:jc w:val="both"/>
              <w:rPr>
                <w:rFonts w:cs="Arial"/>
                <w:sz w:val="20"/>
                <w:szCs w:val="20"/>
                <w:lang w:eastAsia="en-AU"/>
              </w:rPr>
            </w:pPr>
            <w:r>
              <w:rPr>
                <w:rFonts w:cs="Arial"/>
                <w:sz w:val="20"/>
                <w:szCs w:val="20"/>
                <w:lang w:eastAsia="en-AU"/>
              </w:rPr>
              <w:t>No portion of the mixed use development is located within</w:t>
            </w:r>
            <w:r w:rsidR="00F93934">
              <w:rPr>
                <w:rFonts w:cs="Arial"/>
                <w:sz w:val="20"/>
                <w:szCs w:val="20"/>
                <w:lang w:eastAsia="en-AU"/>
              </w:rPr>
              <w:t xml:space="preserve"> areas of the site designated for acquisition. </w:t>
            </w:r>
            <w:r w:rsidR="0006739F">
              <w:rPr>
                <w:rFonts w:cs="Arial"/>
                <w:sz w:val="20"/>
                <w:szCs w:val="20"/>
                <w:lang w:eastAsia="en-AU"/>
              </w:rPr>
              <w:t xml:space="preserve">A temporary detention basin is proposed within the north east corner of the site, which is mapped for acquisition for drainage purposes. The use of the detention basin in this location is consistent with the objectives of the SP2 Infrastructure zone and is required development until such time as the construction of regional detention basins are made downstream of the development site. </w:t>
            </w:r>
            <w:r w:rsidR="00F93934">
              <w:rPr>
                <w:rFonts w:cs="Arial"/>
                <w:sz w:val="20"/>
                <w:szCs w:val="20"/>
                <w:lang w:eastAsia="en-AU"/>
              </w:rPr>
              <w:t>Acquisition of the site is to occur along the sites entire western boundary to upgrade Byron Road (Local Road SP2), along the sites entire northern property for the new Town Centre Road (Local Road SP2) and along the sites entire eastern property boundary for passive open space and drainage purposes (Local open space RE1 and Local Drainage SP2).</w:t>
            </w:r>
          </w:p>
        </w:tc>
        <w:tc>
          <w:tcPr>
            <w:tcW w:w="1843" w:type="dxa"/>
          </w:tcPr>
          <w:p w:rsidR="008172ED" w:rsidRDefault="008172ED" w:rsidP="00871ECB">
            <w:pPr>
              <w:spacing w:before="20" w:after="20"/>
              <w:jc w:val="both"/>
              <w:rPr>
                <w:rFonts w:cs="Arial"/>
                <w:bCs/>
                <w:sz w:val="20"/>
                <w:szCs w:val="20"/>
                <w:lang w:eastAsia="en-AU"/>
              </w:rPr>
            </w:pPr>
            <w:r>
              <w:rPr>
                <w:rFonts w:cs="Arial"/>
                <w:bCs/>
                <w:sz w:val="20"/>
                <w:szCs w:val="20"/>
                <w:lang w:eastAsia="en-AU"/>
              </w:rPr>
              <w:t>Yes</w:t>
            </w:r>
          </w:p>
        </w:tc>
      </w:tr>
      <w:tr w:rsidR="00371B4C" w:rsidRPr="00C57030" w:rsidTr="00B8190E">
        <w:trPr>
          <w:trHeight w:val="214"/>
        </w:trPr>
        <w:tc>
          <w:tcPr>
            <w:tcW w:w="3970" w:type="dxa"/>
            <w:shd w:val="clear" w:color="auto" w:fill="auto"/>
          </w:tcPr>
          <w:p w:rsidR="00371B4C" w:rsidRPr="00565A1C" w:rsidRDefault="00371B4C" w:rsidP="00871ECB">
            <w:pPr>
              <w:spacing w:before="20" w:after="20"/>
              <w:jc w:val="both"/>
              <w:rPr>
                <w:rFonts w:cs="Arial"/>
                <w:b/>
                <w:sz w:val="20"/>
                <w:szCs w:val="20"/>
                <w:lang w:eastAsia="en-AU"/>
              </w:rPr>
            </w:pPr>
            <w:r w:rsidRPr="00565A1C">
              <w:rPr>
                <w:rFonts w:cs="Arial"/>
                <w:b/>
                <w:sz w:val="20"/>
                <w:szCs w:val="20"/>
                <w:lang w:eastAsia="en-AU"/>
              </w:rPr>
              <w:t xml:space="preserve">Appendix </w:t>
            </w:r>
            <w:r w:rsidR="00030D84" w:rsidRPr="00565A1C">
              <w:rPr>
                <w:rFonts w:cs="Arial"/>
                <w:b/>
                <w:sz w:val="20"/>
                <w:szCs w:val="20"/>
                <w:lang w:eastAsia="en-AU"/>
              </w:rPr>
              <w:t>9</w:t>
            </w:r>
            <w:r w:rsidRPr="00565A1C">
              <w:rPr>
                <w:rFonts w:cs="Arial"/>
                <w:b/>
                <w:sz w:val="20"/>
                <w:szCs w:val="20"/>
                <w:lang w:eastAsia="en-AU"/>
              </w:rPr>
              <w:t>, 5.4 Controls relating to miscellaneous permissible uses</w:t>
            </w:r>
          </w:p>
          <w:p w:rsidR="00371B4C" w:rsidRPr="00565A1C" w:rsidRDefault="00371B4C" w:rsidP="00871ECB">
            <w:pPr>
              <w:spacing w:before="20" w:after="20"/>
              <w:jc w:val="both"/>
              <w:rPr>
                <w:rFonts w:cs="Arial"/>
                <w:sz w:val="20"/>
                <w:szCs w:val="20"/>
                <w:lang w:eastAsia="en-AU"/>
              </w:rPr>
            </w:pPr>
          </w:p>
          <w:p w:rsidR="00371B4C" w:rsidRDefault="00371B4C" w:rsidP="00871ECB">
            <w:pPr>
              <w:spacing w:before="20" w:after="20"/>
              <w:jc w:val="both"/>
              <w:rPr>
                <w:rFonts w:cs="Arial"/>
                <w:sz w:val="20"/>
                <w:szCs w:val="20"/>
                <w:lang w:eastAsia="en-AU"/>
              </w:rPr>
            </w:pPr>
            <w:r w:rsidRPr="00565A1C">
              <w:rPr>
                <w:rFonts w:cs="Arial"/>
                <w:sz w:val="20"/>
                <w:szCs w:val="20"/>
                <w:lang w:eastAsia="en-AU"/>
              </w:rPr>
              <w:t>This clause provides a number of development standards that certain developments must comply with.</w:t>
            </w:r>
          </w:p>
          <w:p w:rsidR="007F7A1A" w:rsidRDefault="007F7A1A" w:rsidP="00871ECB">
            <w:pPr>
              <w:spacing w:before="20" w:after="20"/>
              <w:jc w:val="both"/>
              <w:rPr>
                <w:rFonts w:cs="Arial"/>
                <w:sz w:val="20"/>
                <w:szCs w:val="20"/>
                <w:lang w:eastAsia="en-AU"/>
              </w:rPr>
            </w:pPr>
          </w:p>
          <w:p w:rsidR="007F7A1A" w:rsidRPr="00565A1C" w:rsidRDefault="007F7A1A" w:rsidP="00871ECB">
            <w:pPr>
              <w:spacing w:before="20" w:after="20"/>
              <w:jc w:val="both"/>
              <w:rPr>
                <w:rFonts w:cs="Arial"/>
                <w:sz w:val="20"/>
                <w:szCs w:val="20"/>
                <w:lang w:eastAsia="en-AU"/>
              </w:rPr>
            </w:pPr>
            <w:r>
              <w:rPr>
                <w:rFonts w:cs="Arial"/>
                <w:sz w:val="20"/>
                <w:szCs w:val="20"/>
                <w:lang w:eastAsia="en-AU"/>
              </w:rPr>
              <w:t xml:space="preserve">(7) If development for the purposes of a </w:t>
            </w:r>
            <w:proofErr w:type="spellStart"/>
            <w:r>
              <w:rPr>
                <w:rFonts w:cs="Arial"/>
                <w:sz w:val="20"/>
                <w:szCs w:val="20"/>
                <w:lang w:eastAsia="en-AU"/>
              </w:rPr>
              <w:t>neighbourhood</w:t>
            </w:r>
            <w:proofErr w:type="spellEnd"/>
            <w:r>
              <w:rPr>
                <w:rFonts w:cs="Arial"/>
                <w:sz w:val="20"/>
                <w:szCs w:val="20"/>
                <w:lang w:eastAsia="en-AU"/>
              </w:rPr>
              <w:t xml:space="preserve"> shop is permitted under this Precinct Plan, the retail gross floor area must not exceed 100 square </w:t>
            </w:r>
            <w:proofErr w:type="spellStart"/>
            <w:r>
              <w:rPr>
                <w:rFonts w:cs="Arial"/>
                <w:sz w:val="20"/>
                <w:szCs w:val="20"/>
                <w:lang w:eastAsia="en-AU"/>
              </w:rPr>
              <w:t>metres</w:t>
            </w:r>
            <w:proofErr w:type="spellEnd"/>
            <w:r>
              <w:rPr>
                <w:rFonts w:cs="Arial"/>
                <w:sz w:val="20"/>
                <w:szCs w:val="20"/>
                <w:lang w:eastAsia="en-AU"/>
              </w:rPr>
              <w:t xml:space="preserve">. </w:t>
            </w:r>
          </w:p>
        </w:tc>
        <w:tc>
          <w:tcPr>
            <w:tcW w:w="3969" w:type="dxa"/>
          </w:tcPr>
          <w:p w:rsidR="007F7A1A" w:rsidRPr="007F7A1A" w:rsidRDefault="007F7A1A" w:rsidP="00871ECB">
            <w:pPr>
              <w:spacing w:before="20" w:after="20"/>
              <w:jc w:val="both"/>
              <w:rPr>
                <w:rFonts w:cs="Arial"/>
                <w:sz w:val="20"/>
                <w:szCs w:val="20"/>
                <w:lang w:eastAsia="en-AU"/>
              </w:rPr>
            </w:pPr>
            <w:r>
              <w:rPr>
                <w:rFonts w:cs="Arial"/>
                <w:sz w:val="20"/>
                <w:szCs w:val="20"/>
                <w:lang w:eastAsia="en-AU"/>
              </w:rPr>
              <w:t xml:space="preserve">The development proposes one </w:t>
            </w:r>
            <w:proofErr w:type="spellStart"/>
            <w:r>
              <w:rPr>
                <w:rFonts w:cs="Arial"/>
                <w:sz w:val="20"/>
                <w:szCs w:val="20"/>
                <w:lang w:eastAsia="en-AU"/>
              </w:rPr>
              <w:t>neighbourhood</w:t>
            </w:r>
            <w:proofErr w:type="spellEnd"/>
            <w:r>
              <w:rPr>
                <w:rFonts w:cs="Arial"/>
                <w:sz w:val="20"/>
                <w:szCs w:val="20"/>
                <w:lang w:eastAsia="en-AU"/>
              </w:rPr>
              <w:t xml:space="preserve"> shop, whi</w:t>
            </w:r>
            <w:r w:rsidR="005E313B">
              <w:rPr>
                <w:rFonts w:cs="Arial"/>
                <w:sz w:val="20"/>
                <w:szCs w:val="20"/>
                <w:lang w:eastAsia="en-AU"/>
              </w:rPr>
              <w:t>c</w:t>
            </w:r>
            <w:r>
              <w:rPr>
                <w:rFonts w:cs="Arial"/>
                <w:sz w:val="20"/>
                <w:szCs w:val="20"/>
                <w:lang w:eastAsia="en-AU"/>
              </w:rPr>
              <w:t>h is permitted within the R3 Med</w:t>
            </w:r>
            <w:r w:rsidR="005E313B">
              <w:rPr>
                <w:rFonts w:cs="Arial"/>
                <w:sz w:val="20"/>
                <w:szCs w:val="20"/>
                <w:lang w:eastAsia="en-AU"/>
              </w:rPr>
              <w:t>ium Density Residential zone,</w:t>
            </w:r>
            <w:r>
              <w:rPr>
                <w:rFonts w:cs="Arial"/>
                <w:sz w:val="20"/>
                <w:szCs w:val="20"/>
                <w:lang w:eastAsia="en-AU"/>
              </w:rPr>
              <w:t xml:space="preserve"> with a gross floor area of 86.5m</w:t>
            </w:r>
            <w:r>
              <w:rPr>
                <w:rFonts w:cs="Arial"/>
                <w:sz w:val="20"/>
                <w:szCs w:val="20"/>
                <w:vertAlign w:val="superscript"/>
                <w:lang w:eastAsia="en-AU"/>
              </w:rPr>
              <w:t>2</w:t>
            </w:r>
            <w:r>
              <w:rPr>
                <w:rFonts w:cs="Arial"/>
                <w:sz w:val="20"/>
                <w:szCs w:val="20"/>
                <w:lang w:eastAsia="en-AU"/>
              </w:rPr>
              <w:t>.</w:t>
            </w:r>
          </w:p>
        </w:tc>
        <w:tc>
          <w:tcPr>
            <w:tcW w:w="1843" w:type="dxa"/>
          </w:tcPr>
          <w:p w:rsidR="007F7A1A" w:rsidRPr="00565A1C" w:rsidRDefault="007F7A1A" w:rsidP="00871ECB">
            <w:pPr>
              <w:spacing w:before="20" w:after="20"/>
              <w:jc w:val="both"/>
              <w:rPr>
                <w:rFonts w:cs="Arial"/>
                <w:bCs/>
                <w:sz w:val="20"/>
                <w:szCs w:val="20"/>
                <w:lang w:eastAsia="en-AU"/>
              </w:rPr>
            </w:pPr>
            <w:r>
              <w:rPr>
                <w:rFonts w:cs="Arial"/>
                <w:bCs/>
                <w:sz w:val="20"/>
                <w:szCs w:val="20"/>
                <w:lang w:eastAsia="en-AU"/>
              </w:rPr>
              <w:t>Yes</w:t>
            </w:r>
          </w:p>
        </w:tc>
      </w:tr>
      <w:tr w:rsidR="00371B4C" w:rsidRPr="00C57030" w:rsidTr="00B8190E">
        <w:trPr>
          <w:trHeight w:val="214"/>
        </w:trPr>
        <w:tc>
          <w:tcPr>
            <w:tcW w:w="3970" w:type="dxa"/>
            <w:shd w:val="clear" w:color="auto" w:fill="auto"/>
          </w:tcPr>
          <w:p w:rsidR="00371B4C" w:rsidRPr="00565A1C" w:rsidRDefault="00030D84" w:rsidP="00871ECB">
            <w:pPr>
              <w:spacing w:before="20" w:after="20"/>
              <w:jc w:val="both"/>
              <w:rPr>
                <w:rFonts w:cs="Arial"/>
                <w:b/>
                <w:sz w:val="20"/>
                <w:szCs w:val="20"/>
                <w:lang w:eastAsia="en-AU"/>
              </w:rPr>
            </w:pPr>
            <w:r w:rsidRPr="00565A1C">
              <w:rPr>
                <w:rFonts w:cs="Arial"/>
                <w:b/>
                <w:sz w:val="20"/>
                <w:szCs w:val="20"/>
                <w:lang w:eastAsia="en-AU"/>
              </w:rPr>
              <w:t>Appendix 9</w:t>
            </w:r>
            <w:r w:rsidR="00371B4C" w:rsidRPr="00565A1C">
              <w:rPr>
                <w:rFonts w:cs="Arial"/>
                <w:b/>
                <w:sz w:val="20"/>
                <w:szCs w:val="20"/>
                <w:lang w:eastAsia="en-AU"/>
              </w:rPr>
              <w:t>, 5.9 Preservation of trees or vegetation</w:t>
            </w:r>
          </w:p>
          <w:p w:rsidR="00371B4C" w:rsidRPr="00565A1C" w:rsidRDefault="00371B4C" w:rsidP="00871ECB">
            <w:pPr>
              <w:shd w:val="clear" w:color="auto" w:fill="FFFFFF"/>
              <w:spacing w:before="20" w:after="20"/>
              <w:jc w:val="both"/>
              <w:rPr>
                <w:rFonts w:cs="Arial"/>
                <w:color w:val="000000"/>
                <w:sz w:val="20"/>
                <w:szCs w:val="20"/>
                <w:lang w:eastAsia="en-AU"/>
              </w:rPr>
            </w:pPr>
          </w:p>
          <w:p w:rsidR="00371B4C" w:rsidRPr="00565A1C" w:rsidRDefault="00371B4C" w:rsidP="00871ECB">
            <w:pPr>
              <w:shd w:val="clear" w:color="auto" w:fill="FFFFFF"/>
              <w:spacing w:before="20" w:after="20"/>
              <w:jc w:val="both"/>
              <w:rPr>
                <w:rFonts w:cs="Arial"/>
                <w:color w:val="000000"/>
                <w:sz w:val="20"/>
                <w:szCs w:val="20"/>
                <w:lang w:eastAsia="en-AU"/>
              </w:rPr>
            </w:pPr>
            <w:r w:rsidRPr="00565A1C">
              <w:rPr>
                <w:rFonts w:cs="Arial"/>
                <w:sz w:val="20"/>
                <w:szCs w:val="20"/>
                <w:lang w:eastAsia="en-AU"/>
              </w:rPr>
              <w:t>Development consent is required for tree removal and tree related works.</w:t>
            </w:r>
          </w:p>
        </w:tc>
        <w:tc>
          <w:tcPr>
            <w:tcW w:w="3969" w:type="dxa"/>
          </w:tcPr>
          <w:p w:rsidR="005122C1" w:rsidRDefault="005122C1" w:rsidP="00871ECB">
            <w:pPr>
              <w:spacing w:before="20" w:after="20"/>
              <w:jc w:val="both"/>
              <w:rPr>
                <w:rFonts w:cs="Arial"/>
                <w:sz w:val="20"/>
                <w:szCs w:val="20"/>
                <w:lang w:eastAsia="en-AU"/>
              </w:rPr>
            </w:pPr>
            <w:r>
              <w:rPr>
                <w:rFonts w:cs="Arial"/>
                <w:sz w:val="20"/>
                <w:szCs w:val="20"/>
                <w:lang w:eastAsia="en-AU"/>
              </w:rPr>
              <w:t>Tree removal is proposed as part of the application and has been considered by Council’s Urban Tree and Landscape Officer</w:t>
            </w:r>
            <w:r w:rsidR="006D7EE5">
              <w:rPr>
                <w:rFonts w:cs="Arial"/>
                <w:sz w:val="20"/>
                <w:szCs w:val="20"/>
                <w:lang w:eastAsia="en-AU"/>
              </w:rPr>
              <w:t xml:space="preserve">. </w:t>
            </w:r>
            <w:r w:rsidR="00D52837">
              <w:rPr>
                <w:rFonts w:cs="Arial"/>
                <w:sz w:val="20"/>
                <w:szCs w:val="20"/>
                <w:lang w:eastAsia="en-AU"/>
              </w:rPr>
              <w:t xml:space="preserve"> </w:t>
            </w:r>
            <w:r>
              <w:rPr>
                <w:rFonts w:cs="Arial"/>
                <w:sz w:val="20"/>
                <w:szCs w:val="20"/>
                <w:lang w:eastAsia="en-AU"/>
              </w:rPr>
              <w:t xml:space="preserve">Proposed tree removal </w:t>
            </w:r>
            <w:r w:rsidR="006D7EE5">
              <w:rPr>
                <w:rFonts w:cs="Arial"/>
                <w:sz w:val="20"/>
                <w:szCs w:val="20"/>
                <w:lang w:eastAsia="en-AU"/>
              </w:rPr>
              <w:t>i</w:t>
            </w:r>
            <w:r>
              <w:rPr>
                <w:rFonts w:cs="Arial"/>
                <w:sz w:val="20"/>
                <w:szCs w:val="20"/>
                <w:lang w:eastAsia="en-AU"/>
              </w:rPr>
              <w:t xml:space="preserve">s shown upon drawing </w:t>
            </w:r>
            <w:r w:rsidR="00E616EC">
              <w:rPr>
                <w:rFonts w:cs="Arial"/>
                <w:sz w:val="20"/>
                <w:szCs w:val="20"/>
                <w:lang w:eastAsia="en-AU"/>
              </w:rPr>
              <w:t>C102 – Existing features layout plan, revision G, prepared by ADG</w:t>
            </w:r>
            <w:r w:rsidR="00D52837">
              <w:rPr>
                <w:rFonts w:cs="Arial"/>
                <w:sz w:val="20"/>
                <w:szCs w:val="20"/>
                <w:lang w:eastAsia="en-AU"/>
              </w:rPr>
              <w:t xml:space="preserve">. </w:t>
            </w:r>
            <w:r w:rsidR="006D7EE5">
              <w:rPr>
                <w:rFonts w:cs="Arial"/>
                <w:sz w:val="20"/>
                <w:szCs w:val="20"/>
                <w:lang w:eastAsia="en-AU"/>
              </w:rPr>
              <w:t xml:space="preserve"> With the exception of trees located in areas of mapped existing native vegetation and native vegetation retention, the site is bio</w:t>
            </w:r>
            <w:r w:rsidR="00492AD1">
              <w:rPr>
                <w:rFonts w:cs="Arial"/>
                <w:sz w:val="20"/>
                <w:szCs w:val="20"/>
                <w:lang w:eastAsia="en-AU"/>
              </w:rPr>
              <w:t>-</w:t>
            </w:r>
            <w:r w:rsidR="006D7EE5">
              <w:rPr>
                <w:rFonts w:cs="Arial"/>
                <w:sz w:val="20"/>
                <w:szCs w:val="20"/>
                <w:lang w:eastAsia="en-AU"/>
              </w:rPr>
              <w:t>certified and tree removal can be granted with consent.</w:t>
            </w:r>
            <w:r>
              <w:rPr>
                <w:rFonts w:cs="Arial"/>
                <w:sz w:val="20"/>
                <w:szCs w:val="20"/>
                <w:lang w:eastAsia="en-AU"/>
              </w:rPr>
              <w:t xml:space="preserve"> </w:t>
            </w:r>
          </w:p>
          <w:p w:rsidR="00633F36" w:rsidRPr="00565A1C" w:rsidRDefault="00633F36" w:rsidP="00871ECB">
            <w:pPr>
              <w:spacing w:before="20" w:after="20"/>
              <w:jc w:val="both"/>
              <w:rPr>
                <w:rFonts w:cs="Arial"/>
                <w:sz w:val="20"/>
                <w:szCs w:val="20"/>
                <w:lang w:eastAsia="en-AU"/>
              </w:rPr>
            </w:pPr>
          </w:p>
        </w:tc>
        <w:tc>
          <w:tcPr>
            <w:tcW w:w="1843" w:type="dxa"/>
          </w:tcPr>
          <w:p w:rsidR="005122C1" w:rsidRPr="00565A1C" w:rsidRDefault="005122C1" w:rsidP="00871ECB">
            <w:pPr>
              <w:spacing w:before="20" w:after="20"/>
              <w:jc w:val="both"/>
              <w:rPr>
                <w:rFonts w:cs="Arial"/>
                <w:bCs/>
                <w:sz w:val="20"/>
                <w:szCs w:val="20"/>
                <w:lang w:eastAsia="en-AU"/>
              </w:rPr>
            </w:pPr>
            <w:r>
              <w:rPr>
                <w:rFonts w:cs="Arial"/>
                <w:bCs/>
                <w:sz w:val="20"/>
                <w:szCs w:val="20"/>
                <w:lang w:eastAsia="en-AU"/>
              </w:rPr>
              <w:t>Yes</w:t>
            </w:r>
          </w:p>
        </w:tc>
      </w:tr>
      <w:tr w:rsidR="00371B4C" w:rsidRPr="00C57030" w:rsidTr="00B8190E">
        <w:trPr>
          <w:trHeight w:val="214"/>
        </w:trPr>
        <w:tc>
          <w:tcPr>
            <w:tcW w:w="3970" w:type="dxa"/>
            <w:shd w:val="clear" w:color="auto" w:fill="auto"/>
          </w:tcPr>
          <w:p w:rsidR="00371B4C" w:rsidRPr="00565A1C" w:rsidRDefault="00371B4C" w:rsidP="00871ECB">
            <w:pPr>
              <w:spacing w:before="20" w:after="20"/>
              <w:jc w:val="both"/>
              <w:rPr>
                <w:rFonts w:cs="Arial"/>
                <w:b/>
                <w:sz w:val="20"/>
                <w:szCs w:val="20"/>
                <w:lang w:eastAsia="en-AU"/>
              </w:rPr>
            </w:pPr>
            <w:r w:rsidRPr="00565A1C">
              <w:rPr>
                <w:rFonts w:cs="Arial"/>
                <w:b/>
                <w:sz w:val="20"/>
                <w:szCs w:val="20"/>
                <w:lang w:eastAsia="en-AU"/>
              </w:rPr>
              <w:lastRenderedPageBreak/>
              <w:t xml:space="preserve">Appendix </w:t>
            </w:r>
            <w:r w:rsidR="00030D84" w:rsidRPr="00565A1C">
              <w:rPr>
                <w:rFonts w:cs="Arial"/>
                <w:b/>
                <w:sz w:val="20"/>
                <w:szCs w:val="20"/>
                <w:lang w:eastAsia="en-AU"/>
              </w:rPr>
              <w:t>9</w:t>
            </w:r>
            <w:r w:rsidRPr="00565A1C">
              <w:rPr>
                <w:rFonts w:cs="Arial"/>
                <w:b/>
                <w:sz w:val="20"/>
                <w:szCs w:val="20"/>
                <w:lang w:eastAsia="en-AU"/>
              </w:rPr>
              <w:t>, 5.10 Heritage conservation</w:t>
            </w:r>
          </w:p>
          <w:p w:rsidR="00371B4C" w:rsidRPr="00565A1C" w:rsidRDefault="00371B4C" w:rsidP="00871ECB">
            <w:pPr>
              <w:spacing w:before="20" w:after="20"/>
              <w:jc w:val="both"/>
              <w:rPr>
                <w:rFonts w:cs="Arial"/>
                <w:sz w:val="20"/>
                <w:szCs w:val="20"/>
                <w:lang w:eastAsia="en-AU"/>
              </w:rPr>
            </w:pPr>
          </w:p>
          <w:p w:rsidR="001F3ED9" w:rsidRPr="00565A1C" w:rsidRDefault="001F3ED9" w:rsidP="00871ECB">
            <w:pPr>
              <w:spacing w:before="20" w:after="20"/>
              <w:jc w:val="both"/>
              <w:rPr>
                <w:rFonts w:cs="Arial"/>
                <w:b/>
                <w:sz w:val="20"/>
                <w:szCs w:val="20"/>
                <w:lang w:eastAsia="en-AU"/>
              </w:rPr>
            </w:pPr>
            <w:r w:rsidRPr="00565A1C">
              <w:rPr>
                <w:rFonts w:cs="Arial"/>
                <w:b/>
                <w:sz w:val="20"/>
                <w:szCs w:val="20"/>
                <w:lang w:eastAsia="en-AU"/>
              </w:rPr>
              <w:t>5.10 Heritage conservation</w:t>
            </w:r>
          </w:p>
          <w:p w:rsidR="001F3ED9" w:rsidRPr="00565A1C" w:rsidRDefault="001F3ED9" w:rsidP="00871ECB">
            <w:pPr>
              <w:spacing w:before="20" w:after="20"/>
              <w:jc w:val="both"/>
              <w:rPr>
                <w:rFonts w:cs="Arial"/>
                <w:sz w:val="20"/>
                <w:szCs w:val="20"/>
                <w:lang w:eastAsia="en-AU"/>
              </w:rPr>
            </w:pPr>
          </w:p>
          <w:p w:rsidR="001F3ED9" w:rsidRPr="00565A1C" w:rsidRDefault="001F3ED9" w:rsidP="00871ECB">
            <w:pPr>
              <w:spacing w:before="20" w:after="20"/>
              <w:jc w:val="both"/>
              <w:rPr>
                <w:rFonts w:cs="Arial"/>
                <w:sz w:val="20"/>
                <w:szCs w:val="20"/>
                <w:lang w:eastAsia="en-AU"/>
              </w:rPr>
            </w:pPr>
            <w:r w:rsidRPr="00565A1C">
              <w:rPr>
                <w:rFonts w:cs="Arial"/>
                <w:sz w:val="20"/>
                <w:szCs w:val="20"/>
                <w:lang w:eastAsia="en-AU"/>
              </w:rPr>
              <w:t>Before granting development consent in respect of a heritage items or a heritage conservation area, the consent authority must consider the effect of the proposed development on the heritage significance of the item or area concerned.</w:t>
            </w:r>
          </w:p>
          <w:p w:rsidR="001F3ED9" w:rsidRPr="00565A1C" w:rsidRDefault="001F3ED9" w:rsidP="00871ECB">
            <w:pPr>
              <w:spacing w:before="20" w:after="20"/>
              <w:jc w:val="both"/>
              <w:rPr>
                <w:rFonts w:cs="Arial"/>
                <w:sz w:val="20"/>
                <w:szCs w:val="20"/>
                <w:lang w:eastAsia="en-AU"/>
              </w:rPr>
            </w:pPr>
          </w:p>
          <w:p w:rsidR="001F3ED9" w:rsidRPr="00565A1C" w:rsidRDefault="001F3ED9" w:rsidP="00871ECB">
            <w:pPr>
              <w:spacing w:before="20" w:after="20"/>
              <w:jc w:val="both"/>
              <w:rPr>
                <w:rFonts w:cs="Arial"/>
                <w:sz w:val="20"/>
                <w:szCs w:val="20"/>
                <w:lang w:eastAsia="en-AU"/>
              </w:rPr>
            </w:pPr>
            <w:r w:rsidRPr="00565A1C">
              <w:rPr>
                <w:rFonts w:cs="Arial"/>
                <w:sz w:val="20"/>
                <w:szCs w:val="20"/>
                <w:lang w:eastAsia="en-AU"/>
              </w:rPr>
              <w:t>The consent authority may require a heritage management document to be prepared that assesses the extent to which the carrying out of the proposed development would affect the heritage significance of the item or heritage conservation area concerned. The submission of a heritage conservation management plan may also be required.</w:t>
            </w:r>
          </w:p>
          <w:p w:rsidR="001F3ED9" w:rsidRPr="00565A1C" w:rsidRDefault="001F3ED9" w:rsidP="00871ECB">
            <w:pPr>
              <w:spacing w:before="20" w:after="20"/>
              <w:jc w:val="both"/>
              <w:rPr>
                <w:rFonts w:cs="Arial"/>
                <w:sz w:val="20"/>
                <w:szCs w:val="20"/>
                <w:lang w:eastAsia="en-AU"/>
              </w:rPr>
            </w:pPr>
          </w:p>
          <w:p w:rsidR="001F3ED9" w:rsidRPr="00565A1C" w:rsidRDefault="001F3ED9" w:rsidP="00871ECB">
            <w:pPr>
              <w:spacing w:before="20" w:after="20"/>
              <w:jc w:val="both"/>
              <w:rPr>
                <w:rFonts w:cs="Arial"/>
                <w:sz w:val="20"/>
                <w:szCs w:val="20"/>
                <w:lang w:eastAsia="en-AU"/>
              </w:rPr>
            </w:pPr>
            <w:r w:rsidRPr="00565A1C">
              <w:rPr>
                <w:rFonts w:cs="Arial"/>
                <w:sz w:val="20"/>
                <w:szCs w:val="20"/>
                <w:lang w:eastAsia="en-AU"/>
              </w:rPr>
              <w:t>Before granting consent to the carrying out of development on an archaeological site the consent authority must notify the Heritage Council of its intention to grant consent and take into consideration any response received within 28 days after the notice is sent.</w:t>
            </w:r>
          </w:p>
          <w:p w:rsidR="001F3ED9" w:rsidRPr="00565A1C" w:rsidRDefault="001F3ED9" w:rsidP="00871ECB">
            <w:pPr>
              <w:spacing w:before="20" w:after="20"/>
              <w:jc w:val="both"/>
              <w:rPr>
                <w:rFonts w:cs="Arial"/>
                <w:sz w:val="20"/>
                <w:szCs w:val="20"/>
                <w:lang w:eastAsia="en-AU"/>
              </w:rPr>
            </w:pPr>
          </w:p>
          <w:p w:rsidR="001F3ED9" w:rsidRPr="00565A1C" w:rsidRDefault="001F3ED9" w:rsidP="00871ECB">
            <w:pPr>
              <w:spacing w:before="20" w:after="20"/>
              <w:jc w:val="both"/>
              <w:rPr>
                <w:rFonts w:cs="Arial"/>
                <w:sz w:val="20"/>
                <w:szCs w:val="20"/>
                <w:lang w:eastAsia="en-AU"/>
              </w:rPr>
            </w:pPr>
            <w:r w:rsidRPr="00565A1C">
              <w:rPr>
                <w:rFonts w:cs="Arial"/>
                <w:sz w:val="20"/>
                <w:szCs w:val="20"/>
                <w:lang w:eastAsia="en-AU"/>
              </w:rPr>
              <w:t>Before granting consent to the carrying out of development in an Aboriginal place of heritage significance the consent authority must:</w:t>
            </w:r>
          </w:p>
          <w:p w:rsidR="001F3ED9" w:rsidRPr="00565A1C" w:rsidRDefault="001F3ED9" w:rsidP="00871ECB">
            <w:pPr>
              <w:spacing w:before="20" w:after="20"/>
              <w:jc w:val="both"/>
              <w:rPr>
                <w:rFonts w:cs="Arial"/>
                <w:sz w:val="20"/>
                <w:szCs w:val="20"/>
                <w:lang w:eastAsia="en-AU"/>
              </w:rPr>
            </w:pPr>
          </w:p>
          <w:p w:rsidR="001F3ED9" w:rsidRPr="00565A1C" w:rsidRDefault="001F3ED9" w:rsidP="00871ECB">
            <w:pPr>
              <w:pStyle w:val="ListParagraph"/>
              <w:numPr>
                <w:ilvl w:val="0"/>
                <w:numId w:val="44"/>
              </w:numPr>
              <w:shd w:val="clear" w:color="auto" w:fill="FFFFFF"/>
              <w:spacing w:before="20" w:after="20"/>
              <w:jc w:val="both"/>
              <w:rPr>
                <w:rFonts w:cs="Arial"/>
                <w:color w:val="000000"/>
                <w:sz w:val="20"/>
                <w:szCs w:val="20"/>
                <w:lang w:eastAsia="en-AU"/>
              </w:rPr>
            </w:pPr>
            <w:r w:rsidRPr="00565A1C">
              <w:rPr>
                <w:rFonts w:cs="Arial"/>
                <w:color w:val="000000"/>
                <w:sz w:val="20"/>
                <w:szCs w:val="20"/>
                <w:lang w:eastAsia="en-AU"/>
              </w:rPr>
              <w:t>consider the effect of the proposed development on the heritage significance of the place and any Aboriginal object known or reasonably likely to be located at the place by means of an adequate investigation and assessment (which may involve consideration of a heritage impact statement), and</w:t>
            </w:r>
          </w:p>
          <w:p w:rsidR="001F3ED9" w:rsidRPr="00565A1C" w:rsidRDefault="001F3ED9" w:rsidP="00871ECB">
            <w:pPr>
              <w:pStyle w:val="ListParagraph"/>
              <w:shd w:val="clear" w:color="auto" w:fill="FFFFFF"/>
              <w:spacing w:before="20" w:after="20"/>
              <w:ind w:left="460" w:hanging="460"/>
              <w:jc w:val="both"/>
              <w:rPr>
                <w:rFonts w:cs="Arial"/>
                <w:color w:val="000000"/>
                <w:sz w:val="20"/>
                <w:szCs w:val="20"/>
                <w:lang w:eastAsia="en-AU"/>
              </w:rPr>
            </w:pPr>
          </w:p>
          <w:p w:rsidR="001F3ED9" w:rsidRPr="00565A1C" w:rsidRDefault="001F3ED9" w:rsidP="00871ECB">
            <w:pPr>
              <w:pStyle w:val="ListParagraph"/>
              <w:numPr>
                <w:ilvl w:val="0"/>
                <w:numId w:val="44"/>
              </w:numPr>
              <w:shd w:val="clear" w:color="auto" w:fill="FFFFFF"/>
              <w:spacing w:before="20" w:after="20"/>
              <w:ind w:left="460" w:hanging="460"/>
              <w:jc w:val="both"/>
              <w:rPr>
                <w:rFonts w:cs="Arial"/>
                <w:sz w:val="20"/>
                <w:szCs w:val="20"/>
                <w:lang w:eastAsia="en-AU"/>
              </w:rPr>
            </w:pPr>
            <w:r w:rsidRPr="00565A1C">
              <w:rPr>
                <w:rFonts w:cs="Arial"/>
                <w:color w:val="000000"/>
                <w:sz w:val="20"/>
                <w:szCs w:val="20"/>
                <w:lang w:eastAsia="en-AU"/>
              </w:rPr>
              <w:t>notify the local Aboriginal communities, in writing or in such other manner as may be appropriate, about the application and take into consideration any response received within 28 days after the notice is sent.</w:t>
            </w:r>
          </w:p>
          <w:p w:rsidR="001F3ED9" w:rsidRPr="00565A1C" w:rsidRDefault="001F3ED9" w:rsidP="00871ECB">
            <w:pPr>
              <w:shd w:val="clear" w:color="auto" w:fill="FFFFFF"/>
              <w:spacing w:before="20" w:after="20"/>
              <w:jc w:val="both"/>
              <w:rPr>
                <w:rFonts w:cs="Arial"/>
                <w:sz w:val="20"/>
                <w:szCs w:val="20"/>
                <w:lang w:eastAsia="en-AU"/>
              </w:rPr>
            </w:pPr>
          </w:p>
          <w:p w:rsidR="001F3ED9" w:rsidRPr="00565A1C" w:rsidRDefault="001F3ED9" w:rsidP="00871ECB">
            <w:pPr>
              <w:spacing w:before="20" w:after="20"/>
              <w:jc w:val="both"/>
              <w:rPr>
                <w:rFonts w:cs="Arial"/>
                <w:sz w:val="20"/>
                <w:szCs w:val="20"/>
                <w:lang w:eastAsia="en-AU"/>
              </w:rPr>
            </w:pPr>
            <w:r w:rsidRPr="00565A1C">
              <w:rPr>
                <w:rFonts w:cs="Arial"/>
                <w:sz w:val="20"/>
                <w:szCs w:val="20"/>
                <w:lang w:eastAsia="en-AU"/>
              </w:rPr>
              <w:t>Before granting consent to the demolition of a State heritage item the consent authority must:</w:t>
            </w:r>
          </w:p>
          <w:p w:rsidR="001F3ED9" w:rsidRPr="00565A1C" w:rsidRDefault="001F3ED9" w:rsidP="00871ECB">
            <w:pPr>
              <w:spacing w:before="20" w:after="20"/>
              <w:jc w:val="both"/>
              <w:rPr>
                <w:rFonts w:cs="Arial"/>
                <w:sz w:val="20"/>
                <w:szCs w:val="20"/>
                <w:lang w:eastAsia="en-AU"/>
              </w:rPr>
            </w:pPr>
          </w:p>
          <w:p w:rsidR="001F3ED9" w:rsidRPr="00565A1C" w:rsidRDefault="001F3ED9" w:rsidP="00871ECB">
            <w:pPr>
              <w:pStyle w:val="ListParagraph"/>
              <w:numPr>
                <w:ilvl w:val="0"/>
                <w:numId w:val="43"/>
              </w:numPr>
              <w:shd w:val="clear" w:color="auto" w:fill="FFFFFF"/>
              <w:spacing w:before="20" w:after="20"/>
              <w:ind w:left="460" w:hanging="460"/>
              <w:jc w:val="both"/>
              <w:rPr>
                <w:rFonts w:cs="Arial"/>
                <w:color w:val="000000"/>
                <w:sz w:val="20"/>
                <w:szCs w:val="20"/>
                <w:lang w:eastAsia="en-AU"/>
              </w:rPr>
            </w:pPr>
            <w:r w:rsidRPr="00565A1C">
              <w:rPr>
                <w:rFonts w:cs="Arial"/>
                <w:color w:val="000000"/>
                <w:sz w:val="20"/>
                <w:szCs w:val="20"/>
                <w:lang w:eastAsia="en-AU"/>
              </w:rPr>
              <w:t>notify the Heritage Council about the application, and</w:t>
            </w:r>
          </w:p>
          <w:p w:rsidR="001F3ED9" w:rsidRPr="00565A1C" w:rsidRDefault="001F3ED9" w:rsidP="00871ECB">
            <w:pPr>
              <w:shd w:val="clear" w:color="auto" w:fill="FFFFFF"/>
              <w:spacing w:before="20" w:after="20"/>
              <w:ind w:left="460" w:hanging="460"/>
              <w:jc w:val="both"/>
              <w:rPr>
                <w:rFonts w:cs="Arial"/>
                <w:color w:val="000000"/>
                <w:sz w:val="20"/>
                <w:szCs w:val="20"/>
                <w:lang w:eastAsia="en-AU"/>
              </w:rPr>
            </w:pPr>
          </w:p>
          <w:p w:rsidR="001F3ED9" w:rsidRPr="00565A1C" w:rsidRDefault="001F3ED9" w:rsidP="00871ECB">
            <w:pPr>
              <w:pStyle w:val="ListParagraph"/>
              <w:numPr>
                <w:ilvl w:val="0"/>
                <w:numId w:val="43"/>
              </w:numPr>
              <w:shd w:val="clear" w:color="auto" w:fill="FFFFFF"/>
              <w:spacing w:before="20" w:after="20"/>
              <w:ind w:left="460" w:hanging="460"/>
              <w:jc w:val="both"/>
              <w:rPr>
                <w:rFonts w:cs="Arial"/>
                <w:color w:val="000000"/>
                <w:sz w:val="20"/>
                <w:szCs w:val="20"/>
                <w:lang w:eastAsia="en-AU"/>
              </w:rPr>
            </w:pPr>
            <w:r w:rsidRPr="00565A1C">
              <w:rPr>
                <w:rFonts w:cs="Arial"/>
                <w:color w:val="000000"/>
                <w:sz w:val="20"/>
                <w:szCs w:val="20"/>
                <w:lang w:eastAsia="en-AU"/>
              </w:rPr>
              <w:t>take into consideration any response received from the Heritage Council within 28 days after the notice is sent.</w:t>
            </w:r>
          </w:p>
          <w:p w:rsidR="001F3ED9" w:rsidRPr="00565A1C" w:rsidRDefault="001F3ED9" w:rsidP="00871ECB">
            <w:pPr>
              <w:shd w:val="clear" w:color="auto" w:fill="FFFFFF"/>
              <w:spacing w:before="20" w:after="20"/>
              <w:jc w:val="both"/>
              <w:rPr>
                <w:rFonts w:cs="Arial"/>
                <w:color w:val="000000"/>
                <w:sz w:val="20"/>
                <w:szCs w:val="20"/>
                <w:lang w:eastAsia="en-AU"/>
              </w:rPr>
            </w:pPr>
          </w:p>
          <w:p w:rsidR="00371B4C" w:rsidRPr="00565A1C" w:rsidRDefault="001F3ED9" w:rsidP="00871ECB">
            <w:pPr>
              <w:spacing w:before="20" w:after="20"/>
              <w:jc w:val="both"/>
              <w:rPr>
                <w:rFonts w:cs="Arial"/>
                <w:sz w:val="20"/>
                <w:szCs w:val="20"/>
                <w:lang w:eastAsia="en-AU"/>
              </w:rPr>
            </w:pPr>
            <w:r w:rsidRPr="00565A1C">
              <w:rPr>
                <w:rFonts w:cs="Arial"/>
                <w:sz w:val="20"/>
                <w:szCs w:val="20"/>
                <w:lang w:eastAsia="en-AU"/>
              </w:rPr>
              <w:t>Development consent may be granted for any purpose of a building that is a heritage item or the land on which such a building is erected, or for any purpose on an Aboriginal Place of Significance is the consent authority is satisfied as to a number of matters listed by this clause; including if the conservation of the item or place is facilitated by the granting of consent.</w:t>
            </w:r>
          </w:p>
        </w:tc>
        <w:tc>
          <w:tcPr>
            <w:tcW w:w="3969" w:type="dxa"/>
          </w:tcPr>
          <w:p w:rsidR="005122C1" w:rsidRDefault="005122C1" w:rsidP="00871ECB">
            <w:pPr>
              <w:spacing w:before="20" w:after="20"/>
              <w:jc w:val="both"/>
              <w:rPr>
                <w:rFonts w:cs="Arial"/>
                <w:sz w:val="20"/>
                <w:szCs w:val="20"/>
                <w:lang w:eastAsia="en-AU"/>
              </w:rPr>
            </w:pPr>
            <w:r>
              <w:rPr>
                <w:rFonts w:cs="Arial"/>
                <w:sz w:val="20"/>
                <w:szCs w:val="20"/>
                <w:lang w:eastAsia="en-AU"/>
              </w:rPr>
              <w:lastRenderedPageBreak/>
              <w:t xml:space="preserve">No items of European heritage exist on the site or are located within immediate proximity to the development site. </w:t>
            </w:r>
          </w:p>
          <w:p w:rsidR="005122C1" w:rsidRDefault="005122C1" w:rsidP="00871ECB">
            <w:pPr>
              <w:spacing w:before="20" w:after="20"/>
              <w:jc w:val="both"/>
              <w:rPr>
                <w:rFonts w:cs="Arial"/>
                <w:sz w:val="20"/>
                <w:szCs w:val="20"/>
                <w:lang w:eastAsia="en-AU"/>
              </w:rPr>
            </w:pPr>
          </w:p>
          <w:p w:rsidR="005122C1" w:rsidRPr="00565A1C" w:rsidRDefault="005122C1" w:rsidP="00871ECB">
            <w:pPr>
              <w:spacing w:before="20" w:after="20"/>
              <w:jc w:val="both"/>
              <w:rPr>
                <w:rFonts w:cs="Arial"/>
                <w:sz w:val="20"/>
                <w:szCs w:val="20"/>
                <w:lang w:eastAsia="en-AU"/>
              </w:rPr>
            </w:pPr>
            <w:r>
              <w:rPr>
                <w:rFonts w:cs="Arial"/>
                <w:sz w:val="20"/>
                <w:szCs w:val="20"/>
                <w:lang w:eastAsia="en-AU"/>
              </w:rPr>
              <w:t>In respect to Aboriginal</w:t>
            </w:r>
            <w:r w:rsidR="00235C2F">
              <w:rPr>
                <w:rFonts w:cs="Arial"/>
                <w:sz w:val="20"/>
                <w:szCs w:val="20"/>
                <w:lang w:eastAsia="en-AU"/>
              </w:rPr>
              <w:t xml:space="preserve"> heritage, a due diligence assessment report has been submitted, which concludes that the site is not an Aboriginal place of heritage significance and does not contain Aboriginal objects. </w:t>
            </w:r>
          </w:p>
        </w:tc>
        <w:tc>
          <w:tcPr>
            <w:tcW w:w="1843" w:type="dxa"/>
          </w:tcPr>
          <w:p w:rsidR="005122C1" w:rsidRPr="00565A1C" w:rsidRDefault="005122C1" w:rsidP="00871ECB">
            <w:pPr>
              <w:spacing w:before="20" w:after="20"/>
              <w:jc w:val="both"/>
              <w:rPr>
                <w:rFonts w:cs="Arial"/>
                <w:bCs/>
                <w:sz w:val="20"/>
                <w:szCs w:val="20"/>
                <w:lang w:eastAsia="en-AU"/>
              </w:rPr>
            </w:pPr>
            <w:r>
              <w:rPr>
                <w:rFonts w:cs="Arial"/>
                <w:bCs/>
                <w:sz w:val="20"/>
                <w:szCs w:val="20"/>
                <w:lang w:eastAsia="en-AU"/>
              </w:rPr>
              <w:t>NA</w:t>
            </w:r>
          </w:p>
        </w:tc>
      </w:tr>
      <w:tr w:rsidR="00371B4C" w:rsidRPr="00C57030" w:rsidTr="00B8190E">
        <w:trPr>
          <w:trHeight w:val="214"/>
        </w:trPr>
        <w:tc>
          <w:tcPr>
            <w:tcW w:w="3970" w:type="dxa"/>
            <w:shd w:val="clear" w:color="auto" w:fill="auto"/>
          </w:tcPr>
          <w:p w:rsidR="00371B4C" w:rsidRPr="00565A1C" w:rsidRDefault="00E10F8E" w:rsidP="00871ECB">
            <w:pPr>
              <w:spacing w:before="20" w:after="20"/>
              <w:jc w:val="both"/>
              <w:rPr>
                <w:rFonts w:cs="Arial"/>
                <w:b/>
                <w:sz w:val="20"/>
                <w:szCs w:val="20"/>
                <w:lang w:eastAsia="en-AU"/>
              </w:rPr>
            </w:pPr>
            <w:r w:rsidRPr="00565A1C">
              <w:rPr>
                <w:rFonts w:cs="Arial"/>
                <w:b/>
                <w:sz w:val="20"/>
                <w:szCs w:val="20"/>
                <w:lang w:eastAsia="en-AU"/>
              </w:rPr>
              <w:t>Appendix 9</w:t>
            </w:r>
            <w:r w:rsidR="00371B4C" w:rsidRPr="00565A1C">
              <w:rPr>
                <w:rFonts w:cs="Arial"/>
                <w:b/>
                <w:sz w:val="20"/>
                <w:szCs w:val="20"/>
                <w:lang w:eastAsia="en-AU"/>
              </w:rPr>
              <w:t>, 6.1 Public utility infrastructure</w:t>
            </w:r>
          </w:p>
          <w:p w:rsidR="00371B4C" w:rsidRPr="00565A1C" w:rsidRDefault="00371B4C" w:rsidP="00871ECB">
            <w:pPr>
              <w:spacing w:before="20" w:after="20"/>
              <w:jc w:val="both"/>
              <w:rPr>
                <w:rFonts w:cs="Arial"/>
                <w:color w:val="000000"/>
                <w:sz w:val="20"/>
                <w:szCs w:val="20"/>
              </w:rPr>
            </w:pPr>
          </w:p>
          <w:p w:rsidR="00371B4C" w:rsidRPr="00565A1C" w:rsidRDefault="00371B4C" w:rsidP="00871ECB">
            <w:pPr>
              <w:spacing w:before="20" w:after="20"/>
              <w:jc w:val="both"/>
              <w:rPr>
                <w:rFonts w:cs="Arial"/>
                <w:sz w:val="20"/>
                <w:szCs w:val="20"/>
                <w:lang w:eastAsia="en-AU"/>
              </w:rPr>
            </w:pPr>
            <w:r w:rsidRPr="00565A1C">
              <w:rPr>
                <w:rFonts w:cs="Arial"/>
                <w:color w:val="000000"/>
                <w:sz w:val="20"/>
                <w:szCs w:val="20"/>
              </w:rPr>
              <w:t>Development consent must not be granted for development on land unless the consent authority is satisfied that any public utility infrastructure that is essential for the proposed development is available or that adequate arrangements have been made to make that infrastructure available when it is required.</w:t>
            </w:r>
          </w:p>
        </w:tc>
        <w:tc>
          <w:tcPr>
            <w:tcW w:w="3969" w:type="dxa"/>
          </w:tcPr>
          <w:p w:rsidR="00DA6028" w:rsidRPr="00633F36" w:rsidRDefault="00DA6028" w:rsidP="00871ECB">
            <w:pPr>
              <w:spacing w:before="20" w:after="20"/>
              <w:jc w:val="both"/>
              <w:rPr>
                <w:rFonts w:cs="Arial"/>
                <w:sz w:val="20"/>
                <w:szCs w:val="20"/>
                <w:u w:val="single"/>
                <w:lang w:eastAsia="en-AU"/>
              </w:rPr>
            </w:pPr>
            <w:r w:rsidRPr="00633F36">
              <w:rPr>
                <w:rFonts w:cs="Arial"/>
                <w:sz w:val="20"/>
                <w:szCs w:val="20"/>
                <w:u w:val="single"/>
                <w:lang w:eastAsia="en-AU"/>
              </w:rPr>
              <w:t>Water and Sewerage</w:t>
            </w:r>
          </w:p>
          <w:p w:rsidR="00DA6028" w:rsidRPr="007240BF" w:rsidRDefault="00DA6028" w:rsidP="00DA6028">
            <w:pPr>
              <w:spacing w:before="20" w:after="20"/>
              <w:jc w:val="both"/>
              <w:rPr>
                <w:rFonts w:cs="Arial"/>
                <w:sz w:val="20"/>
                <w:szCs w:val="20"/>
                <w:lang w:eastAsia="en-AU"/>
              </w:rPr>
            </w:pPr>
            <w:r w:rsidRPr="007240BF">
              <w:rPr>
                <w:rFonts w:cs="Arial"/>
                <w:sz w:val="20"/>
                <w:szCs w:val="20"/>
                <w:lang w:eastAsia="en-AU"/>
              </w:rPr>
              <w:t>The DA was referred to Sydney Water for comment in accordance with Sydney Water’s DA referral guidelines</w:t>
            </w:r>
            <w:r w:rsidR="00085024" w:rsidRPr="007240BF">
              <w:rPr>
                <w:rFonts w:cs="Arial"/>
                <w:sz w:val="20"/>
                <w:szCs w:val="20"/>
                <w:lang w:eastAsia="en-AU"/>
              </w:rPr>
              <w:t>.</w:t>
            </w:r>
            <w:r w:rsidRPr="007240BF">
              <w:rPr>
                <w:rFonts w:cs="Arial"/>
                <w:sz w:val="20"/>
                <w:szCs w:val="20"/>
                <w:lang w:eastAsia="en-AU"/>
              </w:rPr>
              <w:t xml:space="preserve"> </w:t>
            </w:r>
          </w:p>
          <w:p w:rsidR="00DA6028" w:rsidRPr="007240BF" w:rsidRDefault="00DA6028" w:rsidP="00DA6028">
            <w:pPr>
              <w:spacing w:before="20" w:after="20"/>
              <w:jc w:val="both"/>
              <w:rPr>
                <w:rFonts w:cs="Arial"/>
                <w:sz w:val="20"/>
                <w:szCs w:val="20"/>
                <w:lang w:eastAsia="en-AU"/>
              </w:rPr>
            </w:pPr>
          </w:p>
          <w:p w:rsidR="00085024" w:rsidRPr="00633F36" w:rsidRDefault="00085024" w:rsidP="00DA6028">
            <w:pPr>
              <w:spacing w:before="20" w:after="20"/>
              <w:jc w:val="both"/>
              <w:rPr>
                <w:rFonts w:cs="Arial"/>
                <w:sz w:val="20"/>
                <w:szCs w:val="20"/>
                <w:u w:val="single"/>
                <w:lang w:eastAsia="en-AU"/>
              </w:rPr>
            </w:pPr>
            <w:r w:rsidRPr="00633F36">
              <w:rPr>
                <w:rFonts w:cs="Arial"/>
                <w:sz w:val="20"/>
                <w:szCs w:val="20"/>
                <w:u w:val="single"/>
                <w:lang w:eastAsia="en-AU"/>
              </w:rPr>
              <w:t>Water Servicing</w:t>
            </w:r>
          </w:p>
          <w:p w:rsidR="00085024" w:rsidRPr="007240BF" w:rsidRDefault="00085024" w:rsidP="00DA6028">
            <w:pPr>
              <w:spacing w:before="20" w:after="20"/>
              <w:jc w:val="both"/>
              <w:rPr>
                <w:rFonts w:cs="Arial"/>
                <w:sz w:val="20"/>
                <w:szCs w:val="20"/>
                <w:lang w:eastAsia="en-AU"/>
              </w:rPr>
            </w:pPr>
            <w:r w:rsidRPr="007240BF">
              <w:rPr>
                <w:rFonts w:cs="Arial"/>
                <w:sz w:val="20"/>
                <w:szCs w:val="20"/>
                <w:lang w:eastAsia="en-AU"/>
              </w:rPr>
              <w:t xml:space="preserve">Sydney Water have advised that the site can be serviced by the existing DN100 water main, however for the proposed works to be serviced, a DN150 water main would be required to be constructed around the </w:t>
            </w:r>
            <w:r w:rsidR="007240BF" w:rsidRPr="007240BF">
              <w:rPr>
                <w:rFonts w:cs="Arial"/>
                <w:sz w:val="20"/>
                <w:szCs w:val="20"/>
                <w:lang w:eastAsia="en-AU"/>
              </w:rPr>
              <w:t>development.</w:t>
            </w:r>
          </w:p>
          <w:p w:rsidR="00085024" w:rsidRPr="007240BF" w:rsidRDefault="00085024" w:rsidP="00DA6028">
            <w:pPr>
              <w:spacing w:before="20" w:after="20"/>
              <w:jc w:val="both"/>
              <w:rPr>
                <w:rFonts w:cs="Arial"/>
                <w:sz w:val="20"/>
                <w:szCs w:val="20"/>
                <w:lang w:eastAsia="en-AU"/>
              </w:rPr>
            </w:pPr>
          </w:p>
          <w:p w:rsidR="007240BF" w:rsidRPr="00633F36" w:rsidRDefault="007240BF" w:rsidP="00DA6028">
            <w:pPr>
              <w:spacing w:before="20" w:after="20"/>
              <w:jc w:val="both"/>
              <w:rPr>
                <w:rFonts w:cs="Arial"/>
                <w:sz w:val="20"/>
                <w:szCs w:val="20"/>
                <w:u w:val="single"/>
                <w:lang w:eastAsia="en-AU"/>
              </w:rPr>
            </w:pPr>
            <w:r w:rsidRPr="00633F36">
              <w:rPr>
                <w:rFonts w:cs="Arial"/>
                <w:sz w:val="20"/>
                <w:szCs w:val="20"/>
                <w:u w:val="single"/>
                <w:lang w:eastAsia="en-AU"/>
              </w:rPr>
              <w:t>Wastewater servicing</w:t>
            </w:r>
          </w:p>
          <w:p w:rsidR="007240BF" w:rsidRPr="007240BF" w:rsidRDefault="007240BF" w:rsidP="00DA6028">
            <w:pPr>
              <w:spacing w:before="20" w:after="20"/>
              <w:jc w:val="both"/>
              <w:rPr>
                <w:rFonts w:cs="Arial"/>
                <w:sz w:val="20"/>
                <w:szCs w:val="20"/>
                <w:lang w:eastAsia="en-AU"/>
              </w:rPr>
            </w:pPr>
            <w:r w:rsidRPr="007240BF">
              <w:rPr>
                <w:rFonts w:cs="Arial"/>
                <w:sz w:val="20"/>
                <w:szCs w:val="20"/>
                <w:lang w:eastAsia="en-AU"/>
              </w:rPr>
              <w:t>Sydney Water have advised that the development can be serviced via a recently constructed lead-in main (#SC09) passing along Byron Road from West to East. This lead-in main is connected to SP1182.</w:t>
            </w:r>
          </w:p>
          <w:p w:rsidR="007240BF" w:rsidRPr="00B57B5A" w:rsidRDefault="007240BF" w:rsidP="00DA6028">
            <w:pPr>
              <w:spacing w:before="20" w:after="20"/>
              <w:jc w:val="both"/>
              <w:rPr>
                <w:rFonts w:cs="Arial"/>
                <w:b/>
                <w:bCs/>
                <w:sz w:val="20"/>
                <w:szCs w:val="20"/>
                <w:lang w:eastAsia="en-AU"/>
              </w:rPr>
            </w:pPr>
          </w:p>
          <w:p w:rsidR="00DA6028" w:rsidRPr="007240BF" w:rsidRDefault="00DA6028" w:rsidP="00DA6028">
            <w:pPr>
              <w:spacing w:before="20" w:after="20"/>
              <w:jc w:val="both"/>
              <w:rPr>
                <w:rFonts w:cs="Arial"/>
                <w:sz w:val="20"/>
                <w:szCs w:val="20"/>
                <w:lang w:eastAsia="en-AU"/>
              </w:rPr>
            </w:pPr>
            <w:r w:rsidRPr="007240BF">
              <w:rPr>
                <w:rFonts w:cs="Arial"/>
                <w:sz w:val="20"/>
                <w:szCs w:val="20"/>
                <w:lang w:eastAsia="en-AU"/>
              </w:rPr>
              <w:t>Detailed water and sewerage requirements w</w:t>
            </w:r>
            <w:r w:rsidR="007240BF" w:rsidRPr="007240BF">
              <w:rPr>
                <w:rFonts w:cs="Arial"/>
                <w:sz w:val="20"/>
                <w:szCs w:val="20"/>
                <w:lang w:eastAsia="en-AU"/>
              </w:rPr>
              <w:t>ill</w:t>
            </w:r>
            <w:r w:rsidRPr="007240BF">
              <w:rPr>
                <w:rFonts w:cs="Arial"/>
                <w:sz w:val="20"/>
                <w:szCs w:val="20"/>
                <w:lang w:eastAsia="en-AU"/>
              </w:rPr>
              <w:t xml:space="preserve"> be provided at the Section 73 application stage</w:t>
            </w:r>
            <w:r w:rsidR="007240BF" w:rsidRPr="007240BF">
              <w:rPr>
                <w:rFonts w:cs="Arial"/>
                <w:sz w:val="20"/>
                <w:szCs w:val="20"/>
                <w:lang w:eastAsia="en-AU"/>
              </w:rPr>
              <w:t>.</w:t>
            </w:r>
            <w:r w:rsidRPr="007240BF">
              <w:rPr>
                <w:rFonts w:cs="Arial"/>
                <w:sz w:val="20"/>
                <w:szCs w:val="20"/>
                <w:lang w:eastAsia="en-AU"/>
              </w:rPr>
              <w:t xml:space="preserve"> </w:t>
            </w:r>
          </w:p>
          <w:p w:rsidR="00DA6028" w:rsidRDefault="00DA6028" w:rsidP="00DA6028">
            <w:pPr>
              <w:spacing w:before="20" w:after="20"/>
              <w:jc w:val="both"/>
              <w:rPr>
                <w:rFonts w:cs="Arial"/>
                <w:sz w:val="20"/>
                <w:szCs w:val="20"/>
                <w:lang w:eastAsia="en-AU"/>
              </w:rPr>
            </w:pPr>
          </w:p>
          <w:p w:rsidR="00DA6028" w:rsidRPr="00633F36" w:rsidRDefault="00DA6028" w:rsidP="00DA6028">
            <w:pPr>
              <w:spacing w:before="20" w:after="20"/>
              <w:jc w:val="both"/>
              <w:rPr>
                <w:rFonts w:cs="Arial"/>
                <w:sz w:val="20"/>
                <w:szCs w:val="20"/>
                <w:u w:val="single"/>
                <w:lang w:eastAsia="en-AU"/>
              </w:rPr>
            </w:pPr>
            <w:r w:rsidRPr="00633F36">
              <w:rPr>
                <w:rFonts w:cs="Arial"/>
                <w:sz w:val="20"/>
                <w:szCs w:val="20"/>
                <w:u w:val="single"/>
                <w:lang w:eastAsia="en-AU"/>
              </w:rPr>
              <w:t>Electricity</w:t>
            </w:r>
          </w:p>
          <w:p w:rsidR="00DA6028" w:rsidRDefault="00F66FCD" w:rsidP="00DA6028">
            <w:pPr>
              <w:spacing w:before="20" w:after="20"/>
              <w:jc w:val="both"/>
              <w:rPr>
                <w:rFonts w:cs="Arial"/>
                <w:sz w:val="20"/>
                <w:szCs w:val="20"/>
                <w:lang w:eastAsia="en-AU"/>
              </w:rPr>
            </w:pPr>
            <w:r>
              <w:rPr>
                <w:rFonts w:cs="Arial"/>
                <w:sz w:val="20"/>
                <w:szCs w:val="20"/>
                <w:lang w:eastAsia="en-AU"/>
              </w:rPr>
              <w:t xml:space="preserve">In July 2019 the North </w:t>
            </w:r>
            <w:proofErr w:type="spellStart"/>
            <w:r>
              <w:rPr>
                <w:rFonts w:cs="Arial"/>
                <w:sz w:val="20"/>
                <w:szCs w:val="20"/>
                <w:lang w:eastAsia="en-AU"/>
              </w:rPr>
              <w:t>Leppington</w:t>
            </w:r>
            <w:proofErr w:type="spellEnd"/>
            <w:r>
              <w:rPr>
                <w:rFonts w:cs="Arial"/>
                <w:sz w:val="20"/>
                <w:szCs w:val="20"/>
                <w:lang w:eastAsia="en-AU"/>
              </w:rPr>
              <w:t xml:space="preserve"> Zone substation was switched on enabling electricity to be provided to the town </w:t>
            </w:r>
            <w:proofErr w:type="spellStart"/>
            <w:r>
              <w:rPr>
                <w:rFonts w:cs="Arial"/>
                <w:sz w:val="20"/>
                <w:szCs w:val="20"/>
                <w:lang w:eastAsia="en-AU"/>
              </w:rPr>
              <w:t>centre</w:t>
            </w:r>
            <w:proofErr w:type="spellEnd"/>
            <w:r>
              <w:rPr>
                <w:rFonts w:cs="Arial"/>
                <w:sz w:val="20"/>
                <w:szCs w:val="20"/>
                <w:lang w:eastAsia="en-AU"/>
              </w:rPr>
              <w:t>.</w:t>
            </w:r>
          </w:p>
          <w:p w:rsidR="00F66FCD" w:rsidRPr="00DA6028" w:rsidRDefault="00F66FCD" w:rsidP="00DA6028">
            <w:pPr>
              <w:spacing w:before="20" w:after="20"/>
              <w:jc w:val="both"/>
              <w:rPr>
                <w:rFonts w:cs="Arial"/>
                <w:sz w:val="20"/>
                <w:szCs w:val="20"/>
                <w:lang w:eastAsia="en-AU"/>
              </w:rPr>
            </w:pPr>
          </w:p>
          <w:p w:rsidR="007B3CBA" w:rsidRPr="00F66FCD" w:rsidRDefault="00DA6028" w:rsidP="00871ECB">
            <w:pPr>
              <w:spacing w:before="20" w:after="20"/>
              <w:jc w:val="both"/>
              <w:rPr>
                <w:rFonts w:cs="Arial"/>
                <w:sz w:val="20"/>
                <w:szCs w:val="20"/>
                <w:lang w:eastAsia="en-AU"/>
              </w:rPr>
            </w:pPr>
            <w:r w:rsidRPr="00F66FCD">
              <w:rPr>
                <w:rFonts w:cs="Arial"/>
                <w:sz w:val="20"/>
                <w:szCs w:val="20"/>
                <w:lang w:eastAsia="en-AU"/>
              </w:rPr>
              <w:t xml:space="preserve">It is noted that the </w:t>
            </w:r>
            <w:proofErr w:type="spellStart"/>
            <w:r w:rsidRPr="00F66FCD">
              <w:rPr>
                <w:rFonts w:cs="Arial"/>
                <w:sz w:val="20"/>
                <w:szCs w:val="20"/>
                <w:lang w:eastAsia="en-AU"/>
              </w:rPr>
              <w:t>Leppington</w:t>
            </w:r>
            <w:proofErr w:type="spellEnd"/>
            <w:r w:rsidRPr="00F66FCD">
              <w:rPr>
                <w:rFonts w:cs="Arial"/>
                <w:sz w:val="20"/>
                <w:szCs w:val="20"/>
                <w:lang w:eastAsia="en-AU"/>
              </w:rPr>
              <w:t xml:space="preserve"> area is being progressively serviced by public utility infrastructure over time. It is therefore considered that adequate arrangements for the provision of public utility infrastructure could be made via conditions if development consent was granted.</w:t>
            </w:r>
            <w:r w:rsidR="007B3CBA" w:rsidRPr="00F66FCD">
              <w:rPr>
                <w:rFonts w:cs="Arial"/>
                <w:sz w:val="20"/>
                <w:szCs w:val="20"/>
                <w:lang w:eastAsia="en-AU"/>
              </w:rPr>
              <w:t xml:space="preserve"> </w:t>
            </w:r>
          </w:p>
        </w:tc>
        <w:tc>
          <w:tcPr>
            <w:tcW w:w="1843" w:type="dxa"/>
          </w:tcPr>
          <w:p w:rsidR="007B3CBA" w:rsidRPr="00565A1C" w:rsidRDefault="007B3CBA" w:rsidP="00871ECB">
            <w:pPr>
              <w:spacing w:before="20" w:after="20"/>
              <w:jc w:val="both"/>
              <w:rPr>
                <w:rFonts w:cs="Arial"/>
                <w:bCs/>
                <w:sz w:val="20"/>
                <w:szCs w:val="20"/>
                <w:lang w:eastAsia="en-AU"/>
              </w:rPr>
            </w:pPr>
            <w:r>
              <w:rPr>
                <w:rFonts w:cs="Arial"/>
                <w:bCs/>
                <w:sz w:val="20"/>
                <w:szCs w:val="20"/>
                <w:lang w:eastAsia="en-AU"/>
              </w:rPr>
              <w:t>Yes</w:t>
            </w:r>
          </w:p>
        </w:tc>
      </w:tr>
      <w:tr w:rsidR="00371B4C" w:rsidRPr="00C57030" w:rsidTr="00B8190E">
        <w:trPr>
          <w:trHeight w:val="214"/>
        </w:trPr>
        <w:tc>
          <w:tcPr>
            <w:tcW w:w="3970" w:type="dxa"/>
            <w:shd w:val="clear" w:color="auto" w:fill="auto"/>
          </w:tcPr>
          <w:p w:rsidR="00371B4C" w:rsidRPr="00565A1C" w:rsidRDefault="00E10F8E" w:rsidP="00871ECB">
            <w:pPr>
              <w:spacing w:before="20" w:after="20"/>
              <w:jc w:val="both"/>
              <w:rPr>
                <w:rFonts w:cs="Arial"/>
                <w:sz w:val="20"/>
                <w:szCs w:val="20"/>
                <w:lang w:eastAsia="en-AU"/>
              </w:rPr>
            </w:pPr>
            <w:r w:rsidRPr="00565A1C">
              <w:rPr>
                <w:rFonts w:cs="Arial"/>
                <w:b/>
                <w:sz w:val="20"/>
                <w:szCs w:val="20"/>
                <w:lang w:eastAsia="en-AU"/>
              </w:rPr>
              <w:t>Appendix 9</w:t>
            </w:r>
            <w:r w:rsidR="00371B4C" w:rsidRPr="00565A1C">
              <w:rPr>
                <w:rFonts w:cs="Arial"/>
                <w:b/>
                <w:sz w:val="20"/>
                <w:szCs w:val="20"/>
                <w:lang w:eastAsia="en-AU"/>
              </w:rPr>
              <w:t xml:space="preserve">, 6.2 </w:t>
            </w:r>
            <w:r w:rsidRPr="00565A1C">
              <w:rPr>
                <w:rFonts w:cs="Arial"/>
                <w:b/>
                <w:sz w:val="20"/>
                <w:szCs w:val="20"/>
                <w:lang w:eastAsia="en-AU"/>
              </w:rPr>
              <w:t>Development controls – native vegetation retention areas</w:t>
            </w:r>
          </w:p>
          <w:p w:rsidR="00371B4C" w:rsidRPr="00565A1C" w:rsidRDefault="00371B4C" w:rsidP="00871ECB">
            <w:pPr>
              <w:spacing w:before="20" w:after="20"/>
              <w:jc w:val="both"/>
              <w:rPr>
                <w:rFonts w:cs="Arial"/>
                <w:sz w:val="20"/>
                <w:szCs w:val="20"/>
                <w:lang w:eastAsia="en-AU"/>
              </w:rPr>
            </w:pPr>
          </w:p>
          <w:p w:rsidR="006D49C2" w:rsidRPr="00565A1C" w:rsidRDefault="006D49C2" w:rsidP="00871ECB">
            <w:pPr>
              <w:spacing w:before="20" w:after="20"/>
              <w:jc w:val="both"/>
              <w:rPr>
                <w:rFonts w:cs="Arial"/>
                <w:sz w:val="20"/>
                <w:szCs w:val="20"/>
                <w:lang w:eastAsia="en-AU"/>
              </w:rPr>
            </w:pPr>
            <w:r w:rsidRPr="00565A1C">
              <w:rPr>
                <w:rFonts w:cs="Arial"/>
                <w:color w:val="000000"/>
                <w:sz w:val="20"/>
                <w:szCs w:val="20"/>
              </w:rPr>
              <w:lastRenderedPageBreak/>
              <w:t>This clause applies to land within a native vegetation retention area as shown on the Native Vegetation Protection Map.</w:t>
            </w:r>
          </w:p>
          <w:p w:rsidR="006D49C2" w:rsidRPr="00565A1C" w:rsidRDefault="006D49C2" w:rsidP="00871ECB">
            <w:pPr>
              <w:spacing w:before="20" w:after="20"/>
              <w:jc w:val="both"/>
              <w:rPr>
                <w:rFonts w:cs="Arial"/>
                <w:sz w:val="20"/>
                <w:szCs w:val="20"/>
                <w:lang w:eastAsia="en-AU"/>
              </w:rPr>
            </w:pPr>
          </w:p>
          <w:p w:rsidR="00371B4C" w:rsidRPr="00565A1C" w:rsidRDefault="00E10F8E" w:rsidP="00871ECB">
            <w:pPr>
              <w:spacing w:before="20" w:after="20"/>
              <w:jc w:val="both"/>
              <w:rPr>
                <w:rFonts w:cs="Arial"/>
                <w:sz w:val="20"/>
                <w:szCs w:val="20"/>
                <w:lang w:eastAsia="en-AU"/>
              </w:rPr>
            </w:pPr>
            <w:r w:rsidRPr="00565A1C">
              <w:rPr>
                <w:rFonts w:cs="Arial"/>
                <w:sz w:val="20"/>
                <w:szCs w:val="20"/>
                <w:lang w:eastAsia="en-AU"/>
              </w:rPr>
              <w:t>Development consent is required to clear native vegetation.</w:t>
            </w:r>
          </w:p>
          <w:p w:rsidR="00E10F8E" w:rsidRPr="00565A1C" w:rsidRDefault="00E10F8E" w:rsidP="00871ECB">
            <w:pPr>
              <w:spacing w:before="20" w:after="20"/>
              <w:jc w:val="both"/>
              <w:rPr>
                <w:rFonts w:cs="Arial"/>
                <w:sz w:val="20"/>
                <w:szCs w:val="20"/>
                <w:lang w:eastAsia="en-AU"/>
              </w:rPr>
            </w:pPr>
          </w:p>
          <w:p w:rsidR="00E10F8E" w:rsidRPr="00565A1C" w:rsidRDefault="00E10F8E" w:rsidP="00871ECB">
            <w:pPr>
              <w:spacing w:before="20" w:after="20"/>
              <w:jc w:val="both"/>
              <w:rPr>
                <w:rFonts w:cs="Arial"/>
                <w:sz w:val="20"/>
                <w:szCs w:val="20"/>
                <w:lang w:eastAsia="en-AU"/>
              </w:rPr>
            </w:pPr>
            <w:r w:rsidRPr="00565A1C">
              <w:rPr>
                <w:rFonts w:cs="Arial"/>
                <w:sz w:val="20"/>
                <w:szCs w:val="20"/>
                <w:lang w:eastAsia="en-AU"/>
              </w:rPr>
              <w:t>Development consent must not be granted unless the consent authority is satisfied of a number of matters; including that there is no reasonable alternative available to the disturbance of the native vegetation.</w:t>
            </w:r>
          </w:p>
        </w:tc>
        <w:tc>
          <w:tcPr>
            <w:tcW w:w="3969" w:type="dxa"/>
          </w:tcPr>
          <w:p w:rsidR="007C7C92" w:rsidRDefault="007C7C92" w:rsidP="00871ECB">
            <w:pPr>
              <w:spacing w:before="20" w:after="20"/>
              <w:jc w:val="both"/>
              <w:rPr>
                <w:rFonts w:cs="Arial"/>
                <w:sz w:val="20"/>
                <w:szCs w:val="20"/>
                <w:lang w:eastAsia="en-AU"/>
              </w:rPr>
            </w:pPr>
            <w:r>
              <w:rPr>
                <w:rFonts w:cs="Arial"/>
                <w:sz w:val="20"/>
                <w:szCs w:val="20"/>
                <w:lang w:eastAsia="en-AU"/>
              </w:rPr>
              <w:lastRenderedPageBreak/>
              <w:t>No vegetation that is mapped within the native vegetation retention area is proposed to be cleared.</w:t>
            </w:r>
          </w:p>
          <w:p w:rsidR="007C7C92" w:rsidRDefault="007C7C92" w:rsidP="00871ECB">
            <w:pPr>
              <w:spacing w:before="20" w:after="20"/>
              <w:jc w:val="both"/>
              <w:rPr>
                <w:rFonts w:cs="Arial"/>
                <w:sz w:val="20"/>
                <w:szCs w:val="20"/>
                <w:lang w:eastAsia="en-AU"/>
              </w:rPr>
            </w:pPr>
          </w:p>
          <w:p w:rsidR="007B3CBA" w:rsidRDefault="007B3CBA" w:rsidP="00871ECB">
            <w:pPr>
              <w:spacing w:before="20" w:after="20"/>
              <w:jc w:val="both"/>
              <w:rPr>
                <w:rFonts w:cs="Arial"/>
                <w:sz w:val="20"/>
                <w:szCs w:val="20"/>
                <w:lang w:eastAsia="en-AU"/>
              </w:rPr>
            </w:pPr>
            <w:r>
              <w:rPr>
                <w:rFonts w:cs="Arial"/>
                <w:sz w:val="20"/>
                <w:szCs w:val="20"/>
                <w:lang w:eastAsia="en-AU"/>
              </w:rPr>
              <w:lastRenderedPageBreak/>
              <w:t>A small portion of the north east corner of the site is mapped as existing native vegetation area and native vegetation retention area, contrary to the ILP</w:t>
            </w:r>
            <w:r w:rsidR="0074262B">
              <w:rPr>
                <w:rFonts w:cs="Arial"/>
                <w:sz w:val="20"/>
                <w:szCs w:val="20"/>
                <w:lang w:eastAsia="en-AU"/>
              </w:rPr>
              <w:t xml:space="preserve"> and acquisition mapping</w:t>
            </w:r>
            <w:r>
              <w:rPr>
                <w:rFonts w:cs="Arial"/>
                <w:sz w:val="20"/>
                <w:szCs w:val="20"/>
                <w:lang w:eastAsia="en-AU"/>
              </w:rPr>
              <w:t xml:space="preserve">, which proposes </w:t>
            </w:r>
            <w:r w:rsidR="0074262B">
              <w:rPr>
                <w:rFonts w:cs="Arial"/>
                <w:sz w:val="20"/>
                <w:szCs w:val="20"/>
                <w:lang w:eastAsia="en-AU"/>
              </w:rPr>
              <w:t xml:space="preserve">the future construction of the 25m wide Town </w:t>
            </w:r>
            <w:proofErr w:type="spellStart"/>
            <w:r w:rsidR="0074262B">
              <w:rPr>
                <w:rFonts w:cs="Arial"/>
                <w:sz w:val="20"/>
                <w:szCs w:val="20"/>
                <w:lang w:eastAsia="en-AU"/>
              </w:rPr>
              <w:t>centre</w:t>
            </w:r>
            <w:proofErr w:type="spellEnd"/>
            <w:r w:rsidR="0074262B">
              <w:rPr>
                <w:rFonts w:cs="Arial"/>
                <w:sz w:val="20"/>
                <w:szCs w:val="20"/>
                <w:lang w:eastAsia="en-AU"/>
              </w:rPr>
              <w:t xml:space="preserve"> road.</w:t>
            </w:r>
          </w:p>
          <w:p w:rsidR="0074262B" w:rsidRDefault="0074262B" w:rsidP="00871ECB">
            <w:pPr>
              <w:spacing w:before="20" w:after="20"/>
              <w:jc w:val="both"/>
              <w:rPr>
                <w:rFonts w:cs="Arial"/>
                <w:sz w:val="20"/>
                <w:szCs w:val="20"/>
                <w:lang w:eastAsia="en-AU"/>
              </w:rPr>
            </w:pPr>
          </w:p>
          <w:p w:rsidR="0074262B" w:rsidRDefault="0074262B" w:rsidP="00871ECB">
            <w:pPr>
              <w:spacing w:before="20" w:after="20"/>
              <w:jc w:val="both"/>
              <w:rPr>
                <w:rFonts w:cs="Arial"/>
                <w:sz w:val="20"/>
                <w:szCs w:val="20"/>
                <w:lang w:eastAsia="en-AU"/>
              </w:rPr>
            </w:pPr>
            <w:r>
              <w:rPr>
                <w:rFonts w:cs="Arial"/>
                <w:sz w:val="20"/>
                <w:szCs w:val="20"/>
                <w:lang w:eastAsia="en-AU"/>
              </w:rPr>
              <w:t xml:space="preserve">The eastern end of the town </w:t>
            </w:r>
            <w:proofErr w:type="spellStart"/>
            <w:r>
              <w:rPr>
                <w:rFonts w:cs="Arial"/>
                <w:sz w:val="20"/>
                <w:szCs w:val="20"/>
                <w:lang w:eastAsia="en-AU"/>
              </w:rPr>
              <w:t>centre</w:t>
            </w:r>
            <w:proofErr w:type="spellEnd"/>
            <w:r>
              <w:rPr>
                <w:rFonts w:cs="Arial"/>
                <w:sz w:val="20"/>
                <w:szCs w:val="20"/>
                <w:lang w:eastAsia="en-AU"/>
              </w:rPr>
              <w:t xml:space="preserve"> road is provided with a 9m turning head and does not extend into the existing native vegetation area and native vegetation retention area.</w:t>
            </w:r>
          </w:p>
          <w:p w:rsidR="0074262B" w:rsidRDefault="0074262B" w:rsidP="00871ECB">
            <w:pPr>
              <w:spacing w:before="20" w:after="20"/>
              <w:jc w:val="both"/>
              <w:rPr>
                <w:rFonts w:cs="Arial"/>
                <w:sz w:val="20"/>
                <w:szCs w:val="20"/>
                <w:lang w:eastAsia="en-AU"/>
              </w:rPr>
            </w:pPr>
          </w:p>
          <w:p w:rsidR="0074262B" w:rsidRPr="00565A1C" w:rsidRDefault="0074262B" w:rsidP="00871ECB">
            <w:pPr>
              <w:spacing w:before="20" w:after="20"/>
              <w:jc w:val="both"/>
              <w:rPr>
                <w:rFonts w:cs="Arial"/>
                <w:sz w:val="20"/>
                <w:szCs w:val="20"/>
                <w:lang w:eastAsia="en-AU"/>
              </w:rPr>
            </w:pPr>
            <w:r>
              <w:rPr>
                <w:rFonts w:cs="Arial"/>
                <w:sz w:val="20"/>
                <w:szCs w:val="20"/>
                <w:lang w:eastAsia="en-AU"/>
              </w:rPr>
              <w:t xml:space="preserve">A drainage swale to convey flows from the temporary detention and biofiltration basin to Bonds Creek to the east is proposed to occur within the mapped native vegetation and retention areas, </w:t>
            </w:r>
            <w:r w:rsidR="00492AD1">
              <w:rPr>
                <w:rFonts w:cs="Arial"/>
                <w:sz w:val="20"/>
                <w:szCs w:val="20"/>
                <w:lang w:eastAsia="en-AU"/>
              </w:rPr>
              <w:t>however,</w:t>
            </w:r>
            <w:r>
              <w:rPr>
                <w:rFonts w:cs="Arial"/>
                <w:sz w:val="20"/>
                <w:szCs w:val="20"/>
                <w:lang w:eastAsia="en-AU"/>
              </w:rPr>
              <w:t xml:space="preserve"> will be designed to avoid the removal of any native vegetation. </w:t>
            </w:r>
          </w:p>
        </w:tc>
        <w:tc>
          <w:tcPr>
            <w:tcW w:w="1843" w:type="dxa"/>
          </w:tcPr>
          <w:p w:rsidR="007B3CBA" w:rsidRPr="00565A1C" w:rsidRDefault="007B3CBA" w:rsidP="00871ECB">
            <w:pPr>
              <w:spacing w:before="20" w:after="20"/>
              <w:jc w:val="both"/>
              <w:rPr>
                <w:rFonts w:cs="Arial"/>
                <w:bCs/>
                <w:sz w:val="20"/>
                <w:szCs w:val="20"/>
                <w:lang w:eastAsia="en-AU"/>
              </w:rPr>
            </w:pPr>
            <w:r>
              <w:rPr>
                <w:rFonts w:cs="Arial"/>
                <w:bCs/>
                <w:sz w:val="20"/>
                <w:szCs w:val="20"/>
                <w:lang w:eastAsia="en-AU"/>
              </w:rPr>
              <w:lastRenderedPageBreak/>
              <w:t>Yes</w:t>
            </w:r>
          </w:p>
        </w:tc>
      </w:tr>
      <w:tr w:rsidR="00371B4C" w:rsidRPr="00C57030" w:rsidTr="00B8190E">
        <w:trPr>
          <w:trHeight w:val="214"/>
        </w:trPr>
        <w:tc>
          <w:tcPr>
            <w:tcW w:w="3970" w:type="dxa"/>
            <w:shd w:val="clear" w:color="auto" w:fill="auto"/>
          </w:tcPr>
          <w:p w:rsidR="00E10F8E" w:rsidRPr="00565A1C" w:rsidRDefault="00E10F8E" w:rsidP="00871ECB">
            <w:pPr>
              <w:spacing w:before="20" w:after="20"/>
              <w:jc w:val="both"/>
              <w:rPr>
                <w:rFonts w:cs="Arial"/>
                <w:b/>
                <w:sz w:val="20"/>
                <w:szCs w:val="20"/>
                <w:lang w:eastAsia="en-AU"/>
              </w:rPr>
            </w:pPr>
            <w:r w:rsidRPr="00565A1C">
              <w:rPr>
                <w:rFonts w:cs="Arial"/>
                <w:b/>
                <w:sz w:val="20"/>
                <w:szCs w:val="20"/>
                <w:lang w:eastAsia="en-AU"/>
              </w:rPr>
              <w:t>Appendix 9</w:t>
            </w:r>
            <w:r w:rsidR="00371B4C" w:rsidRPr="00565A1C">
              <w:rPr>
                <w:rFonts w:cs="Arial"/>
                <w:b/>
                <w:sz w:val="20"/>
                <w:szCs w:val="20"/>
                <w:lang w:eastAsia="en-AU"/>
              </w:rPr>
              <w:t xml:space="preserve">, 6.3 </w:t>
            </w:r>
            <w:r w:rsidRPr="00565A1C">
              <w:rPr>
                <w:rFonts w:cs="Arial"/>
                <w:b/>
                <w:sz w:val="20"/>
                <w:szCs w:val="20"/>
                <w:lang w:eastAsia="en-AU"/>
              </w:rPr>
              <w:t>Development controls – existing native vegetation</w:t>
            </w:r>
          </w:p>
          <w:p w:rsidR="00371B4C" w:rsidRPr="00565A1C" w:rsidRDefault="00371B4C" w:rsidP="00871ECB">
            <w:pPr>
              <w:spacing w:before="20" w:after="20"/>
              <w:jc w:val="both"/>
              <w:rPr>
                <w:rFonts w:cs="Arial"/>
                <w:sz w:val="20"/>
                <w:szCs w:val="20"/>
                <w:lang w:eastAsia="en-AU"/>
              </w:rPr>
            </w:pPr>
          </w:p>
          <w:p w:rsidR="00867CDB" w:rsidRPr="00565A1C" w:rsidRDefault="00867CDB" w:rsidP="00871ECB">
            <w:pPr>
              <w:spacing w:before="20" w:after="20"/>
              <w:jc w:val="both"/>
              <w:rPr>
                <w:rFonts w:cs="Arial"/>
                <w:sz w:val="20"/>
                <w:szCs w:val="20"/>
                <w:lang w:eastAsia="en-AU"/>
              </w:rPr>
            </w:pPr>
            <w:r w:rsidRPr="00565A1C">
              <w:rPr>
                <w:rFonts w:cs="Arial"/>
                <w:color w:val="000000"/>
                <w:sz w:val="20"/>
                <w:szCs w:val="20"/>
              </w:rPr>
              <w:t>This clause applies to land within a</w:t>
            </w:r>
            <w:r w:rsidR="006D49C2" w:rsidRPr="00565A1C">
              <w:rPr>
                <w:rFonts w:cs="Arial"/>
                <w:color w:val="000000"/>
                <w:sz w:val="20"/>
                <w:szCs w:val="20"/>
              </w:rPr>
              <w:t>n existing</w:t>
            </w:r>
            <w:r w:rsidRPr="00565A1C">
              <w:rPr>
                <w:rFonts w:cs="Arial"/>
                <w:color w:val="000000"/>
                <w:sz w:val="20"/>
                <w:szCs w:val="20"/>
              </w:rPr>
              <w:t xml:space="preserve"> native vegetation area as shown on the Native Vegetation Protection Map.</w:t>
            </w:r>
          </w:p>
          <w:p w:rsidR="00867CDB" w:rsidRPr="00565A1C" w:rsidRDefault="00867CDB" w:rsidP="00871ECB">
            <w:pPr>
              <w:spacing w:before="20" w:after="20"/>
              <w:jc w:val="both"/>
              <w:rPr>
                <w:rFonts w:cs="Arial"/>
                <w:sz w:val="20"/>
                <w:szCs w:val="20"/>
                <w:lang w:eastAsia="en-AU"/>
              </w:rPr>
            </w:pPr>
          </w:p>
          <w:p w:rsidR="00371B4C" w:rsidRPr="00565A1C" w:rsidRDefault="0047550C" w:rsidP="00871ECB">
            <w:pPr>
              <w:spacing w:before="20" w:after="20"/>
              <w:jc w:val="both"/>
              <w:rPr>
                <w:rFonts w:cs="Arial"/>
                <w:sz w:val="20"/>
                <w:szCs w:val="20"/>
                <w:lang w:eastAsia="en-AU"/>
              </w:rPr>
            </w:pPr>
            <w:r w:rsidRPr="00565A1C">
              <w:rPr>
                <w:rFonts w:cs="Arial"/>
                <w:color w:val="000000"/>
                <w:sz w:val="20"/>
                <w:szCs w:val="20"/>
              </w:rPr>
              <w:t xml:space="preserve">The consent authority must not grant development consent for development on land to which this clause applies unless it is satisfied that the proposed development will not result in the clearing of any existing native vegetation (within the meaning of the relevant biodiversity measures under Part 7 of Schedule 7 to the </w:t>
            </w:r>
            <w:r w:rsidRPr="00565A1C">
              <w:rPr>
                <w:rFonts w:cs="Arial"/>
                <w:i/>
                <w:color w:val="000000"/>
                <w:sz w:val="20"/>
                <w:szCs w:val="20"/>
              </w:rPr>
              <w:t>Threatened Species Conservation Act 1995</w:t>
            </w:r>
            <w:r w:rsidRPr="00565A1C">
              <w:rPr>
                <w:rFonts w:cs="Arial"/>
                <w:color w:val="000000"/>
                <w:sz w:val="20"/>
                <w:szCs w:val="20"/>
              </w:rPr>
              <w:t>).</w:t>
            </w:r>
          </w:p>
        </w:tc>
        <w:tc>
          <w:tcPr>
            <w:tcW w:w="3969" w:type="dxa"/>
          </w:tcPr>
          <w:p w:rsidR="007C7C92" w:rsidRDefault="007C7C92" w:rsidP="00871ECB">
            <w:pPr>
              <w:spacing w:before="20" w:after="20"/>
              <w:jc w:val="both"/>
              <w:rPr>
                <w:rFonts w:cs="Arial"/>
                <w:sz w:val="20"/>
                <w:szCs w:val="20"/>
                <w:lang w:eastAsia="en-AU"/>
              </w:rPr>
            </w:pPr>
            <w:r>
              <w:rPr>
                <w:rFonts w:cs="Arial"/>
                <w:sz w:val="20"/>
                <w:szCs w:val="20"/>
                <w:lang w:eastAsia="en-AU"/>
              </w:rPr>
              <w:t xml:space="preserve">No tree removal is proposed to occur at the north east corner of the site, where existing native vegetation is mapped. </w:t>
            </w:r>
          </w:p>
          <w:p w:rsidR="007C7C92" w:rsidRDefault="007C7C92" w:rsidP="00871ECB">
            <w:pPr>
              <w:spacing w:before="20" w:after="20"/>
              <w:jc w:val="both"/>
              <w:rPr>
                <w:rFonts w:cs="Arial"/>
                <w:sz w:val="20"/>
                <w:szCs w:val="20"/>
                <w:lang w:eastAsia="en-AU"/>
              </w:rPr>
            </w:pPr>
          </w:p>
          <w:p w:rsidR="007C7C92" w:rsidRPr="00565A1C" w:rsidRDefault="007C7C92" w:rsidP="00871ECB">
            <w:pPr>
              <w:spacing w:before="20" w:after="20"/>
              <w:jc w:val="both"/>
              <w:rPr>
                <w:rFonts w:cs="Arial"/>
                <w:sz w:val="20"/>
                <w:szCs w:val="20"/>
                <w:lang w:eastAsia="en-AU"/>
              </w:rPr>
            </w:pPr>
            <w:r w:rsidRPr="007C7C92">
              <w:rPr>
                <w:rFonts w:cs="Arial"/>
                <w:sz w:val="20"/>
                <w:szCs w:val="20"/>
                <w:lang w:eastAsia="en-AU"/>
              </w:rPr>
              <w:t>A drainage swale to convey flows from the temporary detention and biofiltration basin to Bonds Creek to the east is proposed to</w:t>
            </w:r>
            <w:r>
              <w:rPr>
                <w:rFonts w:cs="Arial"/>
                <w:sz w:val="20"/>
                <w:szCs w:val="20"/>
                <w:lang w:eastAsia="en-AU"/>
              </w:rPr>
              <w:t xml:space="preserve"> occur within the mapped native vegetation area, </w:t>
            </w:r>
            <w:r w:rsidR="00492AD1">
              <w:rPr>
                <w:rFonts w:cs="Arial"/>
                <w:sz w:val="20"/>
                <w:szCs w:val="20"/>
                <w:lang w:eastAsia="en-AU"/>
              </w:rPr>
              <w:t>however,</w:t>
            </w:r>
            <w:r>
              <w:rPr>
                <w:rFonts w:cs="Arial"/>
                <w:sz w:val="20"/>
                <w:szCs w:val="20"/>
                <w:lang w:eastAsia="en-AU"/>
              </w:rPr>
              <w:t xml:space="preserve"> will be designed to avoid the removal of any native vegetation.</w:t>
            </w:r>
          </w:p>
        </w:tc>
        <w:tc>
          <w:tcPr>
            <w:tcW w:w="1843" w:type="dxa"/>
          </w:tcPr>
          <w:p w:rsidR="007C7C92" w:rsidRPr="00565A1C" w:rsidRDefault="007C7C92" w:rsidP="00871ECB">
            <w:pPr>
              <w:spacing w:before="20" w:after="20"/>
              <w:jc w:val="both"/>
              <w:rPr>
                <w:rFonts w:cs="Arial"/>
                <w:bCs/>
                <w:sz w:val="20"/>
                <w:szCs w:val="20"/>
                <w:lang w:eastAsia="en-AU"/>
              </w:rPr>
            </w:pPr>
            <w:r>
              <w:rPr>
                <w:rFonts w:cs="Arial"/>
                <w:bCs/>
                <w:sz w:val="20"/>
                <w:szCs w:val="20"/>
                <w:lang w:eastAsia="en-AU"/>
              </w:rPr>
              <w:t>Yes</w:t>
            </w:r>
          </w:p>
        </w:tc>
      </w:tr>
    </w:tbl>
    <w:p w:rsidR="00F40B18" w:rsidRDefault="00F40B18" w:rsidP="00871ECB">
      <w:pPr>
        <w:jc w:val="both"/>
      </w:pPr>
    </w:p>
    <w:sectPr w:rsidR="00F40B18" w:rsidSect="00565A1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2CE6" w:rsidRDefault="00BB2CE6" w:rsidP="003172D8">
      <w:r>
        <w:separator/>
      </w:r>
    </w:p>
  </w:endnote>
  <w:endnote w:type="continuationSeparator" w:id="0">
    <w:p w:rsidR="00BB2CE6" w:rsidRDefault="00BB2CE6" w:rsidP="0031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8075329"/>
      <w:docPartObj>
        <w:docPartGallery w:val="Page Numbers (Bottom of Page)"/>
        <w:docPartUnique/>
      </w:docPartObj>
    </w:sdtPr>
    <w:sdtEndPr>
      <w:rPr>
        <w:sz w:val="22"/>
        <w:szCs w:val="22"/>
      </w:rPr>
    </w:sdtEndPr>
    <w:sdtContent>
      <w:p w:rsidR="00F454A1" w:rsidRPr="00ED759B" w:rsidRDefault="00F454A1">
        <w:pPr>
          <w:pStyle w:val="Footer"/>
          <w:jc w:val="center"/>
          <w:rPr>
            <w:sz w:val="22"/>
            <w:szCs w:val="22"/>
          </w:rPr>
        </w:pPr>
        <w:r w:rsidRPr="00565A1C">
          <w:rPr>
            <w:sz w:val="20"/>
            <w:szCs w:val="20"/>
          </w:rPr>
          <w:t xml:space="preserve">Page </w:t>
        </w:r>
        <w:r w:rsidR="00034D99" w:rsidRPr="00565A1C">
          <w:rPr>
            <w:sz w:val="20"/>
            <w:szCs w:val="20"/>
          </w:rPr>
          <w:fldChar w:fldCharType="begin"/>
        </w:r>
        <w:r w:rsidRPr="00565A1C">
          <w:rPr>
            <w:sz w:val="20"/>
            <w:szCs w:val="20"/>
          </w:rPr>
          <w:instrText xml:space="preserve"> PAGE   \* MERGEFORMAT </w:instrText>
        </w:r>
        <w:r w:rsidR="00034D99" w:rsidRPr="00565A1C">
          <w:rPr>
            <w:sz w:val="20"/>
            <w:szCs w:val="20"/>
          </w:rPr>
          <w:fldChar w:fldCharType="separate"/>
        </w:r>
        <w:r w:rsidR="00B8190E">
          <w:rPr>
            <w:noProof/>
            <w:sz w:val="20"/>
            <w:szCs w:val="20"/>
          </w:rPr>
          <w:t>30</w:t>
        </w:r>
        <w:r w:rsidR="00034D99" w:rsidRPr="00565A1C">
          <w:rPr>
            <w:noProof/>
            <w:sz w:val="20"/>
            <w:szCs w:val="20"/>
          </w:rPr>
          <w:fldChar w:fldCharType="end"/>
        </w:r>
      </w:p>
    </w:sdtContent>
  </w:sdt>
  <w:p w:rsidR="00F454A1" w:rsidRDefault="00F45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2CE6" w:rsidRDefault="00BB2CE6" w:rsidP="003172D8">
      <w:r>
        <w:separator/>
      </w:r>
    </w:p>
  </w:footnote>
  <w:footnote w:type="continuationSeparator" w:id="0">
    <w:p w:rsidR="00BB2CE6" w:rsidRDefault="00BB2CE6" w:rsidP="00317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4A1" w:rsidRPr="00565A1C" w:rsidRDefault="00F454A1" w:rsidP="00565A1C">
    <w:pPr>
      <w:pStyle w:val="Header"/>
      <w:tabs>
        <w:tab w:val="clear" w:pos="9026"/>
        <w:tab w:val="right" w:pos="9214"/>
      </w:tabs>
      <w:ind w:left="-426" w:right="-188"/>
      <w:jc w:val="center"/>
      <w:rPr>
        <w:sz w:val="22"/>
        <w:szCs w:val="22"/>
        <w:u w:val="single"/>
      </w:rPr>
    </w:pPr>
    <w:r w:rsidRPr="00565A1C">
      <w:rPr>
        <w:sz w:val="22"/>
        <w:szCs w:val="22"/>
        <w:u w:val="single"/>
      </w:rPr>
      <w:t xml:space="preserve">State Environmental Planning Policy (Sydney Region Growth </w:t>
    </w:r>
    <w:proofErr w:type="spellStart"/>
    <w:r w:rsidRPr="00565A1C">
      <w:rPr>
        <w:sz w:val="22"/>
        <w:szCs w:val="22"/>
        <w:u w:val="single"/>
      </w:rPr>
      <w:t>Centres</w:t>
    </w:r>
    <w:proofErr w:type="spellEnd"/>
    <w:r w:rsidRPr="00565A1C">
      <w:rPr>
        <w:sz w:val="22"/>
        <w:szCs w:val="22"/>
        <w:u w:val="single"/>
      </w:rPr>
      <w:t>) 2006 (</w:t>
    </w:r>
    <w:r w:rsidR="00565A1C">
      <w:rPr>
        <w:sz w:val="22"/>
        <w:szCs w:val="22"/>
        <w:u w:val="single"/>
      </w:rPr>
      <w:t xml:space="preserve">Growth </w:t>
    </w:r>
    <w:r w:rsidRPr="00565A1C">
      <w:rPr>
        <w:sz w:val="22"/>
        <w:szCs w:val="22"/>
        <w:u w:val="single"/>
      </w:rPr>
      <w:t>SEPP) Assessment Table</w:t>
    </w:r>
  </w:p>
  <w:p w:rsidR="00B8190E" w:rsidRDefault="00B8190E" w:rsidP="00B8190E">
    <w:pPr>
      <w:pStyle w:val="Header"/>
      <w:tabs>
        <w:tab w:val="clear" w:pos="4513"/>
        <w:tab w:val="clear" w:pos="9026"/>
        <w:tab w:val="left" w:pos="5798"/>
      </w:tabs>
    </w:pPr>
  </w:p>
  <w:p w:rsidR="00B8190E" w:rsidRPr="00B8190E" w:rsidRDefault="00B8190E" w:rsidP="00B8190E">
    <w:pPr>
      <w:pStyle w:val="Header"/>
      <w:tabs>
        <w:tab w:val="clear" w:pos="4513"/>
        <w:tab w:val="clear" w:pos="9026"/>
        <w:tab w:val="left" w:pos="5798"/>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2984"/>
    <w:multiLevelType w:val="hybridMultilevel"/>
    <w:tmpl w:val="B9326304"/>
    <w:lvl w:ilvl="0" w:tplc="215C11F4">
      <w:start w:val="1"/>
      <w:numFmt w:val="lowerRoman"/>
      <w:lvlText w:val="(%1)"/>
      <w:lvlJc w:val="left"/>
      <w:pPr>
        <w:ind w:left="72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3B02899"/>
    <w:multiLevelType w:val="hybridMultilevel"/>
    <w:tmpl w:val="F9B05B54"/>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0366F3"/>
    <w:multiLevelType w:val="hybridMultilevel"/>
    <w:tmpl w:val="C428B0B4"/>
    <w:lvl w:ilvl="0" w:tplc="94D414C0">
      <w:start w:val="1"/>
      <w:numFmt w:val="lowerLetter"/>
      <w:lvlText w:val="(%1)"/>
      <w:lvlJc w:val="left"/>
      <w:pPr>
        <w:ind w:left="390" w:hanging="39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5E26283"/>
    <w:multiLevelType w:val="hybridMultilevel"/>
    <w:tmpl w:val="A1303388"/>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6A3091"/>
    <w:multiLevelType w:val="hybridMultilevel"/>
    <w:tmpl w:val="713EE19C"/>
    <w:lvl w:ilvl="0" w:tplc="50646C6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6A91F7F"/>
    <w:multiLevelType w:val="hybridMultilevel"/>
    <w:tmpl w:val="7092FAF8"/>
    <w:lvl w:ilvl="0" w:tplc="6B8EC9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7F31AD4"/>
    <w:multiLevelType w:val="hybridMultilevel"/>
    <w:tmpl w:val="D0A837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D0659B4"/>
    <w:multiLevelType w:val="hybridMultilevel"/>
    <w:tmpl w:val="1B2E2E42"/>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EF61CE7"/>
    <w:multiLevelType w:val="hybridMultilevel"/>
    <w:tmpl w:val="713EE19C"/>
    <w:lvl w:ilvl="0" w:tplc="50646C6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06933BC"/>
    <w:multiLevelType w:val="hybridMultilevel"/>
    <w:tmpl w:val="DAC0A674"/>
    <w:lvl w:ilvl="0" w:tplc="4A866F80">
      <w:start w:val="1"/>
      <w:numFmt w:val="lowerLetter"/>
      <w:lvlText w:val="(%1)"/>
      <w:lvlJc w:val="left"/>
      <w:pPr>
        <w:ind w:left="390" w:hanging="39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22C47BC"/>
    <w:multiLevelType w:val="hybridMultilevel"/>
    <w:tmpl w:val="6BA6507C"/>
    <w:lvl w:ilvl="0" w:tplc="FB82740C">
      <w:start w:val="1"/>
      <w:numFmt w:val="lowerLetter"/>
      <w:lvlText w:val="(%1)"/>
      <w:lvlJc w:val="left"/>
      <w:pPr>
        <w:ind w:left="450" w:hanging="45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2B27A89"/>
    <w:multiLevelType w:val="hybridMultilevel"/>
    <w:tmpl w:val="7BF049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4693121"/>
    <w:multiLevelType w:val="hybridMultilevel"/>
    <w:tmpl w:val="B8CE55B8"/>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6921ED1"/>
    <w:multiLevelType w:val="hybridMultilevel"/>
    <w:tmpl w:val="1EF626EA"/>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82E435A"/>
    <w:multiLevelType w:val="hybridMultilevel"/>
    <w:tmpl w:val="4362798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CB1A7F"/>
    <w:multiLevelType w:val="hybridMultilevel"/>
    <w:tmpl w:val="FAF088D6"/>
    <w:lvl w:ilvl="0" w:tplc="18468A74">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CBC0263"/>
    <w:multiLevelType w:val="hybridMultilevel"/>
    <w:tmpl w:val="140A08C6"/>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FEF5627"/>
    <w:multiLevelType w:val="hybridMultilevel"/>
    <w:tmpl w:val="75EECEDA"/>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14D383B"/>
    <w:multiLevelType w:val="hybridMultilevel"/>
    <w:tmpl w:val="A1303388"/>
    <w:lvl w:ilvl="0" w:tplc="94D414C0">
      <w:start w:val="1"/>
      <w:numFmt w:val="lowerLetter"/>
      <w:lvlText w:val="(%1)"/>
      <w:lvlJc w:val="left"/>
      <w:pPr>
        <w:ind w:left="424" w:hanging="39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19" w15:restartNumberingAfterBreak="0">
    <w:nsid w:val="25F723A5"/>
    <w:multiLevelType w:val="hybridMultilevel"/>
    <w:tmpl w:val="887C93F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48583E"/>
    <w:multiLevelType w:val="hybridMultilevel"/>
    <w:tmpl w:val="13982E16"/>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87C5C78"/>
    <w:multiLevelType w:val="hybridMultilevel"/>
    <w:tmpl w:val="36A6EC8C"/>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D0D0235"/>
    <w:multiLevelType w:val="hybridMultilevel"/>
    <w:tmpl w:val="C96A74AE"/>
    <w:lvl w:ilvl="0" w:tplc="2020B6C2">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1E71F6D"/>
    <w:multiLevelType w:val="hybridMultilevel"/>
    <w:tmpl w:val="389AD7DA"/>
    <w:lvl w:ilvl="0" w:tplc="6A2CB3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3DA6516"/>
    <w:multiLevelType w:val="hybridMultilevel"/>
    <w:tmpl w:val="AAAAC6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3E345CC"/>
    <w:multiLevelType w:val="hybridMultilevel"/>
    <w:tmpl w:val="C720A266"/>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E3E1B28"/>
    <w:multiLevelType w:val="hybridMultilevel"/>
    <w:tmpl w:val="9170E4CC"/>
    <w:lvl w:ilvl="0" w:tplc="5352E61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E6F661B"/>
    <w:multiLevelType w:val="hybridMultilevel"/>
    <w:tmpl w:val="462EE55E"/>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3FA84BAE"/>
    <w:multiLevelType w:val="hybridMultilevel"/>
    <w:tmpl w:val="39B68B14"/>
    <w:lvl w:ilvl="0" w:tplc="AC1C5514">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2AB58E4"/>
    <w:multiLevelType w:val="hybridMultilevel"/>
    <w:tmpl w:val="F686FD28"/>
    <w:lvl w:ilvl="0" w:tplc="215C11F4">
      <w:start w:val="1"/>
      <w:numFmt w:val="lowerRoman"/>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553453E"/>
    <w:multiLevelType w:val="hybridMultilevel"/>
    <w:tmpl w:val="553E854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5BA22F0"/>
    <w:multiLevelType w:val="hybridMultilevel"/>
    <w:tmpl w:val="6BA6507C"/>
    <w:lvl w:ilvl="0" w:tplc="FB82740C">
      <w:start w:val="1"/>
      <w:numFmt w:val="lowerLetter"/>
      <w:lvlText w:val="(%1)"/>
      <w:lvlJc w:val="left"/>
      <w:pPr>
        <w:ind w:left="450" w:hanging="45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9AE53F7"/>
    <w:multiLevelType w:val="hybridMultilevel"/>
    <w:tmpl w:val="9E40877A"/>
    <w:lvl w:ilvl="0" w:tplc="2DBA9CEC">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AF31C1A"/>
    <w:multiLevelType w:val="hybridMultilevel"/>
    <w:tmpl w:val="81DEC6D8"/>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4C5C3BD3"/>
    <w:multiLevelType w:val="hybridMultilevel"/>
    <w:tmpl w:val="7CF65F2E"/>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88D73F7"/>
    <w:multiLevelType w:val="hybridMultilevel"/>
    <w:tmpl w:val="DF98778C"/>
    <w:lvl w:ilvl="0" w:tplc="70968FDE">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8C544CF"/>
    <w:multiLevelType w:val="hybridMultilevel"/>
    <w:tmpl w:val="3D5A01E2"/>
    <w:lvl w:ilvl="0" w:tplc="97A4F300">
      <w:start w:val="1"/>
      <w:numFmt w:val="lowerLetter"/>
      <w:lvlText w:val="(%1)"/>
      <w:lvlJc w:val="left"/>
      <w:pPr>
        <w:ind w:left="360" w:hanging="360"/>
      </w:pPr>
      <w:rPr>
        <w:rFonts w:hint="default"/>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A3B50E0"/>
    <w:multiLevelType w:val="hybridMultilevel"/>
    <w:tmpl w:val="F228B2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F551A67"/>
    <w:multiLevelType w:val="hybridMultilevel"/>
    <w:tmpl w:val="C720A266"/>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4BB2546"/>
    <w:multiLevelType w:val="hybridMultilevel"/>
    <w:tmpl w:val="462EE55E"/>
    <w:lvl w:ilvl="0" w:tplc="C14646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5844818"/>
    <w:multiLevelType w:val="hybridMultilevel"/>
    <w:tmpl w:val="B57A9908"/>
    <w:lvl w:ilvl="0" w:tplc="666A4DC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67CF3BFD"/>
    <w:multiLevelType w:val="hybridMultilevel"/>
    <w:tmpl w:val="1EF626EA"/>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690E1718"/>
    <w:multiLevelType w:val="hybridMultilevel"/>
    <w:tmpl w:val="54D4C6EE"/>
    <w:lvl w:ilvl="0" w:tplc="9DB837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D563AF0"/>
    <w:multiLevelType w:val="hybridMultilevel"/>
    <w:tmpl w:val="0EA406D8"/>
    <w:lvl w:ilvl="0" w:tplc="94D414C0">
      <w:start w:val="1"/>
      <w:numFmt w:val="lowerLetter"/>
      <w:lvlText w:val="(%1)"/>
      <w:lvlJc w:val="left"/>
      <w:pPr>
        <w:ind w:left="390" w:hanging="39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6F445AE0"/>
    <w:multiLevelType w:val="hybridMultilevel"/>
    <w:tmpl w:val="75BC52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1E47E23"/>
    <w:multiLevelType w:val="hybridMultilevel"/>
    <w:tmpl w:val="BC1AB5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32655DF"/>
    <w:multiLevelType w:val="hybridMultilevel"/>
    <w:tmpl w:val="FE92D208"/>
    <w:lvl w:ilvl="0" w:tplc="94D414C0">
      <w:start w:val="1"/>
      <w:numFmt w:val="lowerLetter"/>
      <w:lvlText w:val="(%1)"/>
      <w:lvlJc w:val="left"/>
      <w:pPr>
        <w:ind w:left="390" w:hanging="39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76637826"/>
    <w:multiLevelType w:val="hybridMultilevel"/>
    <w:tmpl w:val="FAF088D6"/>
    <w:lvl w:ilvl="0" w:tplc="18468A74">
      <w:start w:val="1"/>
      <w:numFmt w:val="lowerLetter"/>
      <w:lvlText w:val="(%1)"/>
      <w:lvlJc w:val="left"/>
      <w:pPr>
        <w:ind w:left="424" w:hanging="39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48" w15:restartNumberingAfterBreak="0">
    <w:nsid w:val="7EB83639"/>
    <w:multiLevelType w:val="hybridMultilevel"/>
    <w:tmpl w:val="1C4269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7FD30493"/>
    <w:multiLevelType w:val="hybridMultilevel"/>
    <w:tmpl w:val="6B1472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9"/>
  </w:num>
  <w:num w:numId="2">
    <w:abstractNumId w:val="7"/>
  </w:num>
  <w:num w:numId="3">
    <w:abstractNumId w:val="41"/>
  </w:num>
  <w:num w:numId="4">
    <w:abstractNumId w:val="0"/>
  </w:num>
  <w:num w:numId="5">
    <w:abstractNumId w:val="13"/>
  </w:num>
  <w:num w:numId="6">
    <w:abstractNumId w:val="39"/>
  </w:num>
  <w:num w:numId="7">
    <w:abstractNumId w:val="12"/>
  </w:num>
  <w:num w:numId="8">
    <w:abstractNumId w:val="37"/>
  </w:num>
  <w:num w:numId="9">
    <w:abstractNumId w:val="42"/>
  </w:num>
  <w:num w:numId="10">
    <w:abstractNumId w:val="15"/>
  </w:num>
  <w:num w:numId="11">
    <w:abstractNumId w:val="8"/>
  </w:num>
  <w:num w:numId="12">
    <w:abstractNumId w:val="6"/>
  </w:num>
  <w:num w:numId="13">
    <w:abstractNumId w:val="19"/>
  </w:num>
  <w:num w:numId="14">
    <w:abstractNumId w:val="11"/>
  </w:num>
  <w:num w:numId="15">
    <w:abstractNumId w:val="24"/>
  </w:num>
  <w:num w:numId="16">
    <w:abstractNumId w:val="38"/>
  </w:num>
  <w:num w:numId="17">
    <w:abstractNumId w:val="44"/>
  </w:num>
  <w:num w:numId="18">
    <w:abstractNumId w:val="30"/>
  </w:num>
  <w:num w:numId="19">
    <w:abstractNumId w:val="25"/>
  </w:num>
  <w:num w:numId="20">
    <w:abstractNumId w:val="3"/>
  </w:num>
  <w:num w:numId="21">
    <w:abstractNumId w:val="16"/>
  </w:num>
  <w:num w:numId="22">
    <w:abstractNumId w:val="5"/>
  </w:num>
  <w:num w:numId="23">
    <w:abstractNumId w:val="48"/>
  </w:num>
  <w:num w:numId="24">
    <w:abstractNumId w:val="14"/>
  </w:num>
  <w:num w:numId="25">
    <w:abstractNumId w:val="2"/>
  </w:num>
  <w:num w:numId="26">
    <w:abstractNumId w:val="23"/>
  </w:num>
  <w:num w:numId="27">
    <w:abstractNumId w:val="10"/>
  </w:num>
  <w:num w:numId="28">
    <w:abstractNumId w:val="45"/>
  </w:num>
  <w:num w:numId="29">
    <w:abstractNumId w:val="43"/>
  </w:num>
  <w:num w:numId="30">
    <w:abstractNumId w:val="46"/>
  </w:num>
  <w:num w:numId="31">
    <w:abstractNumId w:val="21"/>
  </w:num>
  <w:num w:numId="32">
    <w:abstractNumId w:val="1"/>
  </w:num>
  <w:num w:numId="33">
    <w:abstractNumId w:val="33"/>
  </w:num>
  <w:num w:numId="34">
    <w:abstractNumId w:val="47"/>
  </w:num>
  <w:num w:numId="35">
    <w:abstractNumId w:val="4"/>
  </w:num>
  <w:num w:numId="36">
    <w:abstractNumId w:val="40"/>
  </w:num>
  <w:num w:numId="37">
    <w:abstractNumId w:val="31"/>
  </w:num>
  <w:num w:numId="38">
    <w:abstractNumId w:val="18"/>
  </w:num>
  <w:num w:numId="39">
    <w:abstractNumId w:val="17"/>
  </w:num>
  <w:num w:numId="40">
    <w:abstractNumId w:val="34"/>
  </w:num>
  <w:num w:numId="41">
    <w:abstractNumId w:val="36"/>
  </w:num>
  <w:num w:numId="42">
    <w:abstractNumId w:val="29"/>
  </w:num>
  <w:num w:numId="43">
    <w:abstractNumId w:val="20"/>
  </w:num>
  <w:num w:numId="44">
    <w:abstractNumId w:val="27"/>
  </w:num>
  <w:num w:numId="45">
    <w:abstractNumId w:val="22"/>
  </w:num>
  <w:num w:numId="46">
    <w:abstractNumId w:val="35"/>
  </w:num>
  <w:num w:numId="47">
    <w:abstractNumId w:val="32"/>
  </w:num>
  <w:num w:numId="48">
    <w:abstractNumId w:val="26"/>
  </w:num>
  <w:num w:numId="49">
    <w:abstractNumId w:val="28"/>
  </w:num>
  <w:num w:numId="50">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drawingGridHorizontalSpacing w:val="120"/>
  <w:displayHorizontalDrawingGridEvery w:val="2"/>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03"/>
    <w:rsid w:val="00000D35"/>
    <w:rsid w:val="00000F1B"/>
    <w:rsid w:val="0000143A"/>
    <w:rsid w:val="00001F7E"/>
    <w:rsid w:val="0000542C"/>
    <w:rsid w:val="0000608D"/>
    <w:rsid w:val="00006C7B"/>
    <w:rsid w:val="000152DA"/>
    <w:rsid w:val="0001591A"/>
    <w:rsid w:val="0001608F"/>
    <w:rsid w:val="00020266"/>
    <w:rsid w:val="00021995"/>
    <w:rsid w:val="000229E9"/>
    <w:rsid w:val="00030D84"/>
    <w:rsid w:val="000349D3"/>
    <w:rsid w:val="00034D99"/>
    <w:rsid w:val="00035180"/>
    <w:rsid w:val="00040913"/>
    <w:rsid w:val="0004381B"/>
    <w:rsid w:val="00044263"/>
    <w:rsid w:val="00046A88"/>
    <w:rsid w:val="00052D4D"/>
    <w:rsid w:val="00055D75"/>
    <w:rsid w:val="0006739F"/>
    <w:rsid w:val="00072377"/>
    <w:rsid w:val="000747CD"/>
    <w:rsid w:val="00077437"/>
    <w:rsid w:val="00080148"/>
    <w:rsid w:val="00081877"/>
    <w:rsid w:val="000838B6"/>
    <w:rsid w:val="00085024"/>
    <w:rsid w:val="000870FA"/>
    <w:rsid w:val="000929A8"/>
    <w:rsid w:val="00093B56"/>
    <w:rsid w:val="00094F29"/>
    <w:rsid w:val="0009612F"/>
    <w:rsid w:val="000A381F"/>
    <w:rsid w:val="000A6E94"/>
    <w:rsid w:val="000B0695"/>
    <w:rsid w:val="000B21B7"/>
    <w:rsid w:val="000B5E38"/>
    <w:rsid w:val="000C1CE5"/>
    <w:rsid w:val="000C1DA0"/>
    <w:rsid w:val="000C2728"/>
    <w:rsid w:val="000D26A1"/>
    <w:rsid w:val="000D4EA5"/>
    <w:rsid w:val="000E09EE"/>
    <w:rsid w:val="000E0BB0"/>
    <w:rsid w:val="000E1544"/>
    <w:rsid w:val="000E487F"/>
    <w:rsid w:val="000E53FD"/>
    <w:rsid w:val="000F3832"/>
    <w:rsid w:val="000F3BA0"/>
    <w:rsid w:val="000F4E57"/>
    <w:rsid w:val="001024D0"/>
    <w:rsid w:val="001029C4"/>
    <w:rsid w:val="00112CC6"/>
    <w:rsid w:val="00114BBB"/>
    <w:rsid w:val="00115AAC"/>
    <w:rsid w:val="0012025E"/>
    <w:rsid w:val="00122101"/>
    <w:rsid w:val="00124F59"/>
    <w:rsid w:val="00125407"/>
    <w:rsid w:val="00130AA1"/>
    <w:rsid w:val="0013530B"/>
    <w:rsid w:val="00136291"/>
    <w:rsid w:val="001368C4"/>
    <w:rsid w:val="0013785A"/>
    <w:rsid w:val="001405EF"/>
    <w:rsid w:val="00140E53"/>
    <w:rsid w:val="00143781"/>
    <w:rsid w:val="00143AF1"/>
    <w:rsid w:val="001447BA"/>
    <w:rsid w:val="00144CD3"/>
    <w:rsid w:val="001470C1"/>
    <w:rsid w:val="001471A3"/>
    <w:rsid w:val="00150E5C"/>
    <w:rsid w:val="00150F54"/>
    <w:rsid w:val="00154760"/>
    <w:rsid w:val="00155123"/>
    <w:rsid w:val="00157AE8"/>
    <w:rsid w:val="00162BDC"/>
    <w:rsid w:val="001673B3"/>
    <w:rsid w:val="00170AA6"/>
    <w:rsid w:val="00171145"/>
    <w:rsid w:val="001727E3"/>
    <w:rsid w:val="00172FFB"/>
    <w:rsid w:val="00180567"/>
    <w:rsid w:val="00182AC2"/>
    <w:rsid w:val="001837F6"/>
    <w:rsid w:val="00184AF9"/>
    <w:rsid w:val="001857E4"/>
    <w:rsid w:val="00187A27"/>
    <w:rsid w:val="00190475"/>
    <w:rsid w:val="001B2FC2"/>
    <w:rsid w:val="001B6DBD"/>
    <w:rsid w:val="001B6FFA"/>
    <w:rsid w:val="001B7477"/>
    <w:rsid w:val="001C0B8F"/>
    <w:rsid w:val="001C4A92"/>
    <w:rsid w:val="001D33E8"/>
    <w:rsid w:val="001D586B"/>
    <w:rsid w:val="001E7858"/>
    <w:rsid w:val="001F11AA"/>
    <w:rsid w:val="001F26CA"/>
    <w:rsid w:val="001F3ED9"/>
    <w:rsid w:val="00200387"/>
    <w:rsid w:val="00201670"/>
    <w:rsid w:val="00224784"/>
    <w:rsid w:val="00225C72"/>
    <w:rsid w:val="002265E3"/>
    <w:rsid w:val="00230537"/>
    <w:rsid w:val="002341F0"/>
    <w:rsid w:val="00235C2F"/>
    <w:rsid w:val="0024099A"/>
    <w:rsid w:val="00241EFD"/>
    <w:rsid w:val="002430DF"/>
    <w:rsid w:val="00245CC6"/>
    <w:rsid w:val="00247A48"/>
    <w:rsid w:val="00247D93"/>
    <w:rsid w:val="002515B7"/>
    <w:rsid w:val="00251F3E"/>
    <w:rsid w:val="00252C33"/>
    <w:rsid w:val="00262093"/>
    <w:rsid w:val="002628F0"/>
    <w:rsid w:val="00265A74"/>
    <w:rsid w:val="00274012"/>
    <w:rsid w:val="002756C7"/>
    <w:rsid w:val="00275C57"/>
    <w:rsid w:val="00276638"/>
    <w:rsid w:val="00276769"/>
    <w:rsid w:val="00280CA5"/>
    <w:rsid w:val="0028163B"/>
    <w:rsid w:val="002871CA"/>
    <w:rsid w:val="0029079C"/>
    <w:rsid w:val="002927CE"/>
    <w:rsid w:val="002A2A91"/>
    <w:rsid w:val="002A563E"/>
    <w:rsid w:val="002B2322"/>
    <w:rsid w:val="002B79AE"/>
    <w:rsid w:val="002C576D"/>
    <w:rsid w:val="002D25DE"/>
    <w:rsid w:val="002D4665"/>
    <w:rsid w:val="002E1D24"/>
    <w:rsid w:val="002E33C0"/>
    <w:rsid w:val="002E3D74"/>
    <w:rsid w:val="002E4496"/>
    <w:rsid w:val="002E5091"/>
    <w:rsid w:val="002E612C"/>
    <w:rsid w:val="002F2B86"/>
    <w:rsid w:val="002F475D"/>
    <w:rsid w:val="002F6120"/>
    <w:rsid w:val="00301B00"/>
    <w:rsid w:val="00302EC6"/>
    <w:rsid w:val="003172D8"/>
    <w:rsid w:val="00317866"/>
    <w:rsid w:val="00317F58"/>
    <w:rsid w:val="003202F6"/>
    <w:rsid w:val="00324873"/>
    <w:rsid w:val="003262B3"/>
    <w:rsid w:val="00327075"/>
    <w:rsid w:val="00332363"/>
    <w:rsid w:val="00332C6A"/>
    <w:rsid w:val="00334469"/>
    <w:rsid w:val="00335286"/>
    <w:rsid w:val="003377E4"/>
    <w:rsid w:val="00343E77"/>
    <w:rsid w:val="00350424"/>
    <w:rsid w:val="00351EA3"/>
    <w:rsid w:val="0035412F"/>
    <w:rsid w:val="00355D93"/>
    <w:rsid w:val="00361475"/>
    <w:rsid w:val="00361E4A"/>
    <w:rsid w:val="00363499"/>
    <w:rsid w:val="00371B4C"/>
    <w:rsid w:val="00371EF6"/>
    <w:rsid w:val="00372951"/>
    <w:rsid w:val="00374242"/>
    <w:rsid w:val="003749C1"/>
    <w:rsid w:val="00386F66"/>
    <w:rsid w:val="00387F94"/>
    <w:rsid w:val="00387FAD"/>
    <w:rsid w:val="003951C7"/>
    <w:rsid w:val="0039602E"/>
    <w:rsid w:val="003971BA"/>
    <w:rsid w:val="00397919"/>
    <w:rsid w:val="003B30FC"/>
    <w:rsid w:val="003B3637"/>
    <w:rsid w:val="003B53E3"/>
    <w:rsid w:val="003B6E14"/>
    <w:rsid w:val="003C26C7"/>
    <w:rsid w:val="003C4F85"/>
    <w:rsid w:val="003E1146"/>
    <w:rsid w:val="003E46A2"/>
    <w:rsid w:val="003E7800"/>
    <w:rsid w:val="003F069A"/>
    <w:rsid w:val="003F2F91"/>
    <w:rsid w:val="003F52A9"/>
    <w:rsid w:val="00400304"/>
    <w:rsid w:val="00405E48"/>
    <w:rsid w:val="00412200"/>
    <w:rsid w:val="0041411F"/>
    <w:rsid w:val="00414970"/>
    <w:rsid w:val="00420DED"/>
    <w:rsid w:val="0042307B"/>
    <w:rsid w:val="00424BD1"/>
    <w:rsid w:val="004270D1"/>
    <w:rsid w:val="0043603F"/>
    <w:rsid w:val="00437139"/>
    <w:rsid w:val="004408DB"/>
    <w:rsid w:val="00440CBF"/>
    <w:rsid w:val="0044167D"/>
    <w:rsid w:val="00443402"/>
    <w:rsid w:val="00445F94"/>
    <w:rsid w:val="004520F4"/>
    <w:rsid w:val="0045428E"/>
    <w:rsid w:val="004632DF"/>
    <w:rsid w:val="004636E0"/>
    <w:rsid w:val="00463DF9"/>
    <w:rsid w:val="004640BB"/>
    <w:rsid w:val="00473AEB"/>
    <w:rsid w:val="0047550C"/>
    <w:rsid w:val="00477DBC"/>
    <w:rsid w:val="00487DF9"/>
    <w:rsid w:val="00491139"/>
    <w:rsid w:val="00492AD1"/>
    <w:rsid w:val="00492E05"/>
    <w:rsid w:val="00495328"/>
    <w:rsid w:val="004A34BA"/>
    <w:rsid w:val="004A5ED2"/>
    <w:rsid w:val="004A6961"/>
    <w:rsid w:val="004A70F3"/>
    <w:rsid w:val="004B6B9C"/>
    <w:rsid w:val="004C1419"/>
    <w:rsid w:val="004C3644"/>
    <w:rsid w:val="004D71D1"/>
    <w:rsid w:val="004E0A4E"/>
    <w:rsid w:val="004E1F07"/>
    <w:rsid w:val="004E5B67"/>
    <w:rsid w:val="004E6034"/>
    <w:rsid w:val="004F1C52"/>
    <w:rsid w:val="004F2010"/>
    <w:rsid w:val="005027FC"/>
    <w:rsid w:val="00503F30"/>
    <w:rsid w:val="005122C1"/>
    <w:rsid w:val="00512B8C"/>
    <w:rsid w:val="00520EBE"/>
    <w:rsid w:val="00521281"/>
    <w:rsid w:val="005215E6"/>
    <w:rsid w:val="00521D5E"/>
    <w:rsid w:val="00523B84"/>
    <w:rsid w:val="0053121D"/>
    <w:rsid w:val="00531727"/>
    <w:rsid w:val="00534094"/>
    <w:rsid w:val="00534CA4"/>
    <w:rsid w:val="00536988"/>
    <w:rsid w:val="00540956"/>
    <w:rsid w:val="00545223"/>
    <w:rsid w:val="00547599"/>
    <w:rsid w:val="00551003"/>
    <w:rsid w:val="00555CC8"/>
    <w:rsid w:val="00560C31"/>
    <w:rsid w:val="00565A1C"/>
    <w:rsid w:val="00565F09"/>
    <w:rsid w:val="00566F5A"/>
    <w:rsid w:val="005746B1"/>
    <w:rsid w:val="00576264"/>
    <w:rsid w:val="00576911"/>
    <w:rsid w:val="00576C55"/>
    <w:rsid w:val="005828EA"/>
    <w:rsid w:val="00585D2C"/>
    <w:rsid w:val="00590A63"/>
    <w:rsid w:val="00591D52"/>
    <w:rsid w:val="00592199"/>
    <w:rsid w:val="00592F43"/>
    <w:rsid w:val="005932A3"/>
    <w:rsid w:val="005950E7"/>
    <w:rsid w:val="00595BFD"/>
    <w:rsid w:val="005A2D79"/>
    <w:rsid w:val="005A55AB"/>
    <w:rsid w:val="005A7B84"/>
    <w:rsid w:val="005B008A"/>
    <w:rsid w:val="005B082E"/>
    <w:rsid w:val="005B4B99"/>
    <w:rsid w:val="005B59C5"/>
    <w:rsid w:val="005C0794"/>
    <w:rsid w:val="005C21A5"/>
    <w:rsid w:val="005C5760"/>
    <w:rsid w:val="005C57D7"/>
    <w:rsid w:val="005D360D"/>
    <w:rsid w:val="005D64AE"/>
    <w:rsid w:val="005E210F"/>
    <w:rsid w:val="005E313B"/>
    <w:rsid w:val="005E3324"/>
    <w:rsid w:val="005E3A79"/>
    <w:rsid w:val="005E4E7E"/>
    <w:rsid w:val="005F151D"/>
    <w:rsid w:val="005F4D1C"/>
    <w:rsid w:val="005F6B6C"/>
    <w:rsid w:val="0060173B"/>
    <w:rsid w:val="00610DE7"/>
    <w:rsid w:val="00613783"/>
    <w:rsid w:val="006175B8"/>
    <w:rsid w:val="00620AB0"/>
    <w:rsid w:val="00620C72"/>
    <w:rsid w:val="00620FCE"/>
    <w:rsid w:val="00624E71"/>
    <w:rsid w:val="00631099"/>
    <w:rsid w:val="00633F36"/>
    <w:rsid w:val="006447F4"/>
    <w:rsid w:val="0065002A"/>
    <w:rsid w:val="00651E42"/>
    <w:rsid w:val="00655542"/>
    <w:rsid w:val="00656E60"/>
    <w:rsid w:val="00660019"/>
    <w:rsid w:val="00660CB2"/>
    <w:rsid w:val="00666874"/>
    <w:rsid w:val="0067010B"/>
    <w:rsid w:val="00670231"/>
    <w:rsid w:val="0067269D"/>
    <w:rsid w:val="0067272C"/>
    <w:rsid w:val="00676613"/>
    <w:rsid w:val="0067748F"/>
    <w:rsid w:val="00684639"/>
    <w:rsid w:val="006873EC"/>
    <w:rsid w:val="00691E03"/>
    <w:rsid w:val="00694C31"/>
    <w:rsid w:val="00695B90"/>
    <w:rsid w:val="00696734"/>
    <w:rsid w:val="006A4888"/>
    <w:rsid w:val="006B2338"/>
    <w:rsid w:val="006B2992"/>
    <w:rsid w:val="006B5034"/>
    <w:rsid w:val="006B735C"/>
    <w:rsid w:val="006C186F"/>
    <w:rsid w:val="006C41D4"/>
    <w:rsid w:val="006C72AF"/>
    <w:rsid w:val="006D058C"/>
    <w:rsid w:val="006D1C3C"/>
    <w:rsid w:val="006D41C9"/>
    <w:rsid w:val="006D49C2"/>
    <w:rsid w:val="006D7EE5"/>
    <w:rsid w:val="006E0223"/>
    <w:rsid w:val="006E16D6"/>
    <w:rsid w:val="006E22CB"/>
    <w:rsid w:val="006F14F4"/>
    <w:rsid w:val="006F52C6"/>
    <w:rsid w:val="00704CA9"/>
    <w:rsid w:val="007050B3"/>
    <w:rsid w:val="007113B4"/>
    <w:rsid w:val="00712251"/>
    <w:rsid w:val="00723E3B"/>
    <w:rsid w:val="007240BF"/>
    <w:rsid w:val="0073050A"/>
    <w:rsid w:val="00730D1B"/>
    <w:rsid w:val="00732C7C"/>
    <w:rsid w:val="007347AE"/>
    <w:rsid w:val="00735B67"/>
    <w:rsid w:val="007370AB"/>
    <w:rsid w:val="0074262B"/>
    <w:rsid w:val="00742CA2"/>
    <w:rsid w:val="00742FFB"/>
    <w:rsid w:val="00743F1E"/>
    <w:rsid w:val="007459C0"/>
    <w:rsid w:val="007526DD"/>
    <w:rsid w:val="00753F69"/>
    <w:rsid w:val="007549F3"/>
    <w:rsid w:val="007564D9"/>
    <w:rsid w:val="00757E1D"/>
    <w:rsid w:val="00760539"/>
    <w:rsid w:val="00760EDE"/>
    <w:rsid w:val="00762AD9"/>
    <w:rsid w:val="00762B5D"/>
    <w:rsid w:val="00763533"/>
    <w:rsid w:val="00772FEF"/>
    <w:rsid w:val="0077307B"/>
    <w:rsid w:val="00773B1F"/>
    <w:rsid w:val="007758E4"/>
    <w:rsid w:val="00775CA1"/>
    <w:rsid w:val="00781102"/>
    <w:rsid w:val="0079263B"/>
    <w:rsid w:val="0079366B"/>
    <w:rsid w:val="007953AB"/>
    <w:rsid w:val="0079590A"/>
    <w:rsid w:val="007A0E0E"/>
    <w:rsid w:val="007A2EC8"/>
    <w:rsid w:val="007A7183"/>
    <w:rsid w:val="007A7C0F"/>
    <w:rsid w:val="007A7D2E"/>
    <w:rsid w:val="007B2524"/>
    <w:rsid w:val="007B314E"/>
    <w:rsid w:val="007B3CBA"/>
    <w:rsid w:val="007B6B13"/>
    <w:rsid w:val="007B72E6"/>
    <w:rsid w:val="007C24F5"/>
    <w:rsid w:val="007C2746"/>
    <w:rsid w:val="007C3368"/>
    <w:rsid w:val="007C3C0C"/>
    <w:rsid w:val="007C3EE0"/>
    <w:rsid w:val="007C42E1"/>
    <w:rsid w:val="007C4F28"/>
    <w:rsid w:val="007C51C4"/>
    <w:rsid w:val="007C5727"/>
    <w:rsid w:val="007C7B28"/>
    <w:rsid w:val="007C7C92"/>
    <w:rsid w:val="007D2ADA"/>
    <w:rsid w:val="007D66B6"/>
    <w:rsid w:val="007E031D"/>
    <w:rsid w:val="007E169D"/>
    <w:rsid w:val="007E2DB5"/>
    <w:rsid w:val="007E4A2D"/>
    <w:rsid w:val="007E71B1"/>
    <w:rsid w:val="007F1037"/>
    <w:rsid w:val="007F2703"/>
    <w:rsid w:val="007F60AB"/>
    <w:rsid w:val="007F7A1A"/>
    <w:rsid w:val="00800817"/>
    <w:rsid w:val="00803E23"/>
    <w:rsid w:val="0081343F"/>
    <w:rsid w:val="00813E60"/>
    <w:rsid w:val="008172ED"/>
    <w:rsid w:val="0082119F"/>
    <w:rsid w:val="00823BAE"/>
    <w:rsid w:val="00824732"/>
    <w:rsid w:val="00827509"/>
    <w:rsid w:val="008314CE"/>
    <w:rsid w:val="00832D6A"/>
    <w:rsid w:val="0083472C"/>
    <w:rsid w:val="0083526F"/>
    <w:rsid w:val="008362DF"/>
    <w:rsid w:val="00842DE5"/>
    <w:rsid w:val="0084341A"/>
    <w:rsid w:val="00844F82"/>
    <w:rsid w:val="00846F1C"/>
    <w:rsid w:val="00851CFB"/>
    <w:rsid w:val="008556B2"/>
    <w:rsid w:val="008564AD"/>
    <w:rsid w:val="00856E37"/>
    <w:rsid w:val="008609DC"/>
    <w:rsid w:val="00861BFA"/>
    <w:rsid w:val="00863D83"/>
    <w:rsid w:val="00863E3B"/>
    <w:rsid w:val="00865A3C"/>
    <w:rsid w:val="00866285"/>
    <w:rsid w:val="0086726C"/>
    <w:rsid w:val="00867CDB"/>
    <w:rsid w:val="00871ECB"/>
    <w:rsid w:val="00871EFD"/>
    <w:rsid w:val="00875362"/>
    <w:rsid w:val="00884913"/>
    <w:rsid w:val="0088544A"/>
    <w:rsid w:val="00886899"/>
    <w:rsid w:val="00892951"/>
    <w:rsid w:val="00892BC5"/>
    <w:rsid w:val="008968FD"/>
    <w:rsid w:val="00896C50"/>
    <w:rsid w:val="008972F4"/>
    <w:rsid w:val="00897320"/>
    <w:rsid w:val="008A0D67"/>
    <w:rsid w:val="008A33A3"/>
    <w:rsid w:val="008A7EF9"/>
    <w:rsid w:val="008B110E"/>
    <w:rsid w:val="008B274D"/>
    <w:rsid w:val="008B4E5F"/>
    <w:rsid w:val="008B547E"/>
    <w:rsid w:val="008B78E5"/>
    <w:rsid w:val="008C3F9C"/>
    <w:rsid w:val="008C4D49"/>
    <w:rsid w:val="008C5BB1"/>
    <w:rsid w:val="008D0E7B"/>
    <w:rsid w:val="008D531F"/>
    <w:rsid w:val="008D5CAE"/>
    <w:rsid w:val="008E19ED"/>
    <w:rsid w:val="008E52C6"/>
    <w:rsid w:val="008E6AD6"/>
    <w:rsid w:val="008F6642"/>
    <w:rsid w:val="0090152D"/>
    <w:rsid w:val="00903B18"/>
    <w:rsid w:val="00904376"/>
    <w:rsid w:val="0091066B"/>
    <w:rsid w:val="0091429D"/>
    <w:rsid w:val="00914556"/>
    <w:rsid w:val="00915840"/>
    <w:rsid w:val="00915937"/>
    <w:rsid w:val="00923C45"/>
    <w:rsid w:val="009241CC"/>
    <w:rsid w:val="009243D0"/>
    <w:rsid w:val="009352D3"/>
    <w:rsid w:val="00936C59"/>
    <w:rsid w:val="00954065"/>
    <w:rsid w:val="009562D8"/>
    <w:rsid w:val="00957C3E"/>
    <w:rsid w:val="009601FE"/>
    <w:rsid w:val="00965FF8"/>
    <w:rsid w:val="0097416A"/>
    <w:rsid w:val="009744D8"/>
    <w:rsid w:val="0097778B"/>
    <w:rsid w:val="00977B31"/>
    <w:rsid w:val="00982B0B"/>
    <w:rsid w:val="00983FF2"/>
    <w:rsid w:val="00984796"/>
    <w:rsid w:val="009853B8"/>
    <w:rsid w:val="00987120"/>
    <w:rsid w:val="00987401"/>
    <w:rsid w:val="00987A81"/>
    <w:rsid w:val="009A20D8"/>
    <w:rsid w:val="009A4961"/>
    <w:rsid w:val="009A4AAC"/>
    <w:rsid w:val="009A64E6"/>
    <w:rsid w:val="009B1E23"/>
    <w:rsid w:val="009B7768"/>
    <w:rsid w:val="009C3737"/>
    <w:rsid w:val="009C74D1"/>
    <w:rsid w:val="009D21E7"/>
    <w:rsid w:val="009D2FFF"/>
    <w:rsid w:val="009D5B8A"/>
    <w:rsid w:val="009D7B4C"/>
    <w:rsid w:val="009E03FF"/>
    <w:rsid w:val="009E3104"/>
    <w:rsid w:val="009E3726"/>
    <w:rsid w:val="009E3BB1"/>
    <w:rsid w:val="009E4E30"/>
    <w:rsid w:val="009E5E4F"/>
    <w:rsid w:val="009E61E2"/>
    <w:rsid w:val="009F1182"/>
    <w:rsid w:val="009F11F5"/>
    <w:rsid w:val="009F5185"/>
    <w:rsid w:val="009F5256"/>
    <w:rsid w:val="00A03FCC"/>
    <w:rsid w:val="00A043DF"/>
    <w:rsid w:val="00A07D45"/>
    <w:rsid w:val="00A10C88"/>
    <w:rsid w:val="00A11145"/>
    <w:rsid w:val="00A123B7"/>
    <w:rsid w:val="00A16D36"/>
    <w:rsid w:val="00A16D52"/>
    <w:rsid w:val="00A22081"/>
    <w:rsid w:val="00A23669"/>
    <w:rsid w:val="00A2694D"/>
    <w:rsid w:val="00A3411B"/>
    <w:rsid w:val="00A40E1F"/>
    <w:rsid w:val="00A41928"/>
    <w:rsid w:val="00A42E5B"/>
    <w:rsid w:val="00A51CAA"/>
    <w:rsid w:val="00A52C37"/>
    <w:rsid w:val="00A54CA8"/>
    <w:rsid w:val="00A57C4A"/>
    <w:rsid w:val="00A604FD"/>
    <w:rsid w:val="00A7142D"/>
    <w:rsid w:val="00A84E25"/>
    <w:rsid w:val="00A86BE3"/>
    <w:rsid w:val="00A90BCA"/>
    <w:rsid w:val="00A94646"/>
    <w:rsid w:val="00AA1FCC"/>
    <w:rsid w:val="00AA4184"/>
    <w:rsid w:val="00AA4FFF"/>
    <w:rsid w:val="00AA774D"/>
    <w:rsid w:val="00AB3DB3"/>
    <w:rsid w:val="00AB4FD8"/>
    <w:rsid w:val="00AB5C3B"/>
    <w:rsid w:val="00AB69AC"/>
    <w:rsid w:val="00AC0429"/>
    <w:rsid w:val="00AC15EF"/>
    <w:rsid w:val="00AC6834"/>
    <w:rsid w:val="00AE1D68"/>
    <w:rsid w:val="00AE253B"/>
    <w:rsid w:val="00AE334B"/>
    <w:rsid w:val="00AE472C"/>
    <w:rsid w:val="00AE55C7"/>
    <w:rsid w:val="00AF481B"/>
    <w:rsid w:val="00B01599"/>
    <w:rsid w:val="00B035D1"/>
    <w:rsid w:val="00B047A9"/>
    <w:rsid w:val="00B04C81"/>
    <w:rsid w:val="00B152DA"/>
    <w:rsid w:val="00B16C30"/>
    <w:rsid w:val="00B214E0"/>
    <w:rsid w:val="00B275EB"/>
    <w:rsid w:val="00B37754"/>
    <w:rsid w:val="00B41119"/>
    <w:rsid w:val="00B43281"/>
    <w:rsid w:val="00B45298"/>
    <w:rsid w:val="00B46C22"/>
    <w:rsid w:val="00B57B5A"/>
    <w:rsid w:val="00B67E09"/>
    <w:rsid w:val="00B74076"/>
    <w:rsid w:val="00B8190E"/>
    <w:rsid w:val="00B8289B"/>
    <w:rsid w:val="00B831C6"/>
    <w:rsid w:val="00B873DA"/>
    <w:rsid w:val="00B87896"/>
    <w:rsid w:val="00B901BE"/>
    <w:rsid w:val="00B91C90"/>
    <w:rsid w:val="00B958EC"/>
    <w:rsid w:val="00BA2F8D"/>
    <w:rsid w:val="00BA5323"/>
    <w:rsid w:val="00BA6827"/>
    <w:rsid w:val="00BB2CE6"/>
    <w:rsid w:val="00BB57A5"/>
    <w:rsid w:val="00BB77F5"/>
    <w:rsid w:val="00BB79F0"/>
    <w:rsid w:val="00BC05E9"/>
    <w:rsid w:val="00BC2899"/>
    <w:rsid w:val="00BC3391"/>
    <w:rsid w:val="00BC35B9"/>
    <w:rsid w:val="00BC3E55"/>
    <w:rsid w:val="00BC4F70"/>
    <w:rsid w:val="00BD1807"/>
    <w:rsid w:val="00BD1959"/>
    <w:rsid w:val="00BE5379"/>
    <w:rsid w:val="00BF0621"/>
    <w:rsid w:val="00BF1363"/>
    <w:rsid w:val="00BF4C41"/>
    <w:rsid w:val="00C04003"/>
    <w:rsid w:val="00C07507"/>
    <w:rsid w:val="00C109BA"/>
    <w:rsid w:val="00C12569"/>
    <w:rsid w:val="00C17768"/>
    <w:rsid w:val="00C201E3"/>
    <w:rsid w:val="00C278F3"/>
    <w:rsid w:val="00C326B3"/>
    <w:rsid w:val="00C32FB8"/>
    <w:rsid w:val="00C35C6F"/>
    <w:rsid w:val="00C50834"/>
    <w:rsid w:val="00C55360"/>
    <w:rsid w:val="00C572EB"/>
    <w:rsid w:val="00C61955"/>
    <w:rsid w:val="00C62F0D"/>
    <w:rsid w:val="00C64766"/>
    <w:rsid w:val="00C64EFA"/>
    <w:rsid w:val="00C65A87"/>
    <w:rsid w:val="00C808F5"/>
    <w:rsid w:val="00C8299B"/>
    <w:rsid w:val="00C85FE8"/>
    <w:rsid w:val="00C920BF"/>
    <w:rsid w:val="00C96F94"/>
    <w:rsid w:val="00CA19F5"/>
    <w:rsid w:val="00CA1C23"/>
    <w:rsid w:val="00CA1C33"/>
    <w:rsid w:val="00CA25EB"/>
    <w:rsid w:val="00CA509C"/>
    <w:rsid w:val="00CA65E6"/>
    <w:rsid w:val="00CA7CAB"/>
    <w:rsid w:val="00CB1B33"/>
    <w:rsid w:val="00CB283D"/>
    <w:rsid w:val="00CC0EAF"/>
    <w:rsid w:val="00CC4D9F"/>
    <w:rsid w:val="00CC6431"/>
    <w:rsid w:val="00CD127E"/>
    <w:rsid w:val="00CD2400"/>
    <w:rsid w:val="00CD2542"/>
    <w:rsid w:val="00CD25FF"/>
    <w:rsid w:val="00CD4E3C"/>
    <w:rsid w:val="00CD78D1"/>
    <w:rsid w:val="00CE28BE"/>
    <w:rsid w:val="00CE5538"/>
    <w:rsid w:val="00CE6ED3"/>
    <w:rsid w:val="00CF246F"/>
    <w:rsid w:val="00CF2769"/>
    <w:rsid w:val="00CF3F92"/>
    <w:rsid w:val="00D00513"/>
    <w:rsid w:val="00D01884"/>
    <w:rsid w:val="00D024F3"/>
    <w:rsid w:val="00D0487A"/>
    <w:rsid w:val="00D06A2F"/>
    <w:rsid w:val="00D10CDD"/>
    <w:rsid w:val="00D1215D"/>
    <w:rsid w:val="00D12EA7"/>
    <w:rsid w:val="00D147DC"/>
    <w:rsid w:val="00D148DF"/>
    <w:rsid w:val="00D20C7E"/>
    <w:rsid w:val="00D247C2"/>
    <w:rsid w:val="00D25ACE"/>
    <w:rsid w:val="00D32F10"/>
    <w:rsid w:val="00D3564B"/>
    <w:rsid w:val="00D43430"/>
    <w:rsid w:val="00D43FB2"/>
    <w:rsid w:val="00D5187E"/>
    <w:rsid w:val="00D52837"/>
    <w:rsid w:val="00D52B4A"/>
    <w:rsid w:val="00D54DF9"/>
    <w:rsid w:val="00D60567"/>
    <w:rsid w:val="00D72AAD"/>
    <w:rsid w:val="00D7597F"/>
    <w:rsid w:val="00D770C4"/>
    <w:rsid w:val="00D77BB7"/>
    <w:rsid w:val="00D82DE7"/>
    <w:rsid w:val="00D84366"/>
    <w:rsid w:val="00D860EA"/>
    <w:rsid w:val="00D8728B"/>
    <w:rsid w:val="00D87AEF"/>
    <w:rsid w:val="00D9663A"/>
    <w:rsid w:val="00DA0F5A"/>
    <w:rsid w:val="00DA5158"/>
    <w:rsid w:val="00DA6028"/>
    <w:rsid w:val="00DA694E"/>
    <w:rsid w:val="00DA72FC"/>
    <w:rsid w:val="00DA760A"/>
    <w:rsid w:val="00DB5C1A"/>
    <w:rsid w:val="00DB7F6E"/>
    <w:rsid w:val="00DC1D50"/>
    <w:rsid w:val="00DC27C7"/>
    <w:rsid w:val="00DC2ED9"/>
    <w:rsid w:val="00DC4C12"/>
    <w:rsid w:val="00DC68F6"/>
    <w:rsid w:val="00DC6AED"/>
    <w:rsid w:val="00DD0E77"/>
    <w:rsid w:val="00DE0277"/>
    <w:rsid w:val="00DF1824"/>
    <w:rsid w:val="00DF21AC"/>
    <w:rsid w:val="00DF6281"/>
    <w:rsid w:val="00DF7B56"/>
    <w:rsid w:val="00E00518"/>
    <w:rsid w:val="00E02551"/>
    <w:rsid w:val="00E10F8E"/>
    <w:rsid w:val="00E17727"/>
    <w:rsid w:val="00E17822"/>
    <w:rsid w:val="00E21C31"/>
    <w:rsid w:val="00E31DB5"/>
    <w:rsid w:val="00E31DE8"/>
    <w:rsid w:val="00E326DD"/>
    <w:rsid w:val="00E40534"/>
    <w:rsid w:val="00E40B5A"/>
    <w:rsid w:val="00E507BA"/>
    <w:rsid w:val="00E51DE8"/>
    <w:rsid w:val="00E53A02"/>
    <w:rsid w:val="00E568DE"/>
    <w:rsid w:val="00E56DBD"/>
    <w:rsid w:val="00E60077"/>
    <w:rsid w:val="00E616EC"/>
    <w:rsid w:val="00E61BB4"/>
    <w:rsid w:val="00E708D5"/>
    <w:rsid w:val="00E712C0"/>
    <w:rsid w:val="00E71BAE"/>
    <w:rsid w:val="00E74EDC"/>
    <w:rsid w:val="00E772BA"/>
    <w:rsid w:val="00E86F68"/>
    <w:rsid w:val="00E87493"/>
    <w:rsid w:val="00E87693"/>
    <w:rsid w:val="00E95766"/>
    <w:rsid w:val="00EA0005"/>
    <w:rsid w:val="00EA32A4"/>
    <w:rsid w:val="00EB14ED"/>
    <w:rsid w:val="00EB5A5E"/>
    <w:rsid w:val="00EB7DE3"/>
    <w:rsid w:val="00EC250D"/>
    <w:rsid w:val="00EC26CD"/>
    <w:rsid w:val="00ED2B0C"/>
    <w:rsid w:val="00ED322F"/>
    <w:rsid w:val="00ED3F64"/>
    <w:rsid w:val="00ED54BE"/>
    <w:rsid w:val="00ED6DF3"/>
    <w:rsid w:val="00ED759B"/>
    <w:rsid w:val="00EE7953"/>
    <w:rsid w:val="00EF2758"/>
    <w:rsid w:val="00EF3458"/>
    <w:rsid w:val="00EF4BAA"/>
    <w:rsid w:val="00EF7718"/>
    <w:rsid w:val="00F01C26"/>
    <w:rsid w:val="00F0288F"/>
    <w:rsid w:val="00F03D72"/>
    <w:rsid w:val="00F04F62"/>
    <w:rsid w:val="00F0581D"/>
    <w:rsid w:val="00F06610"/>
    <w:rsid w:val="00F13239"/>
    <w:rsid w:val="00F20BC2"/>
    <w:rsid w:val="00F24FCC"/>
    <w:rsid w:val="00F253DE"/>
    <w:rsid w:val="00F25AC7"/>
    <w:rsid w:val="00F26558"/>
    <w:rsid w:val="00F2655C"/>
    <w:rsid w:val="00F2704E"/>
    <w:rsid w:val="00F273A8"/>
    <w:rsid w:val="00F30580"/>
    <w:rsid w:val="00F34E31"/>
    <w:rsid w:val="00F3541B"/>
    <w:rsid w:val="00F40B18"/>
    <w:rsid w:val="00F41EDF"/>
    <w:rsid w:val="00F454A1"/>
    <w:rsid w:val="00F55C02"/>
    <w:rsid w:val="00F55EF5"/>
    <w:rsid w:val="00F5644B"/>
    <w:rsid w:val="00F568F0"/>
    <w:rsid w:val="00F60019"/>
    <w:rsid w:val="00F64ED2"/>
    <w:rsid w:val="00F66FCD"/>
    <w:rsid w:val="00F72A9A"/>
    <w:rsid w:val="00F7328A"/>
    <w:rsid w:val="00F80B54"/>
    <w:rsid w:val="00F85B67"/>
    <w:rsid w:val="00F86A11"/>
    <w:rsid w:val="00F93934"/>
    <w:rsid w:val="00F945B4"/>
    <w:rsid w:val="00F95408"/>
    <w:rsid w:val="00F97F4E"/>
    <w:rsid w:val="00FA40EC"/>
    <w:rsid w:val="00FB1B31"/>
    <w:rsid w:val="00FB3841"/>
    <w:rsid w:val="00FB785C"/>
    <w:rsid w:val="00FB7DCC"/>
    <w:rsid w:val="00FC1D4E"/>
    <w:rsid w:val="00FC6AAB"/>
    <w:rsid w:val="00FC76EB"/>
    <w:rsid w:val="00FD416C"/>
    <w:rsid w:val="00FD73E6"/>
    <w:rsid w:val="00FE0AFD"/>
    <w:rsid w:val="00FE6503"/>
    <w:rsid w:val="00FF0D88"/>
    <w:rsid w:val="00FF3798"/>
    <w:rsid w:val="00FF39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3185"/>
    <o:shapelayout v:ext="edit">
      <o:idmap v:ext="edit" data="1"/>
    </o:shapelayout>
  </w:shapeDefaults>
  <w:decimalSymbol w:val="."/>
  <w:listSeparator w:val=","/>
  <w15:docId w15:val="{741D415B-9C00-47DC-9969-0DDE362B7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51003"/>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2D8"/>
    <w:pPr>
      <w:tabs>
        <w:tab w:val="center" w:pos="4513"/>
        <w:tab w:val="right" w:pos="9026"/>
      </w:tabs>
    </w:pPr>
  </w:style>
  <w:style w:type="character" w:customStyle="1" w:styleId="HeaderChar">
    <w:name w:val="Header Char"/>
    <w:basedOn w:val="DefaultParagraphFont"/>
    <w:link w:val="Header"/>
    <w:uiPriority w:val="99"/>
    <w:rsid w:val="003172D8"/>
    <w:rPr>
      <w:rFonts w:ascii="Arial" w:eastAsia="Times New Roman" w:hAnsi="Arial" w:cs="Times New Roman"/>
      <w:sz w:val="24"/>
      <w:szCs w:val="24"/>
      <w:lang w:val="en-US"/>
    </w:rPr>
  </w:style>
  <w:style w:type="paragraph" w:styleId="Footer">
    <w:name w:val="footer"/>
    <w:basedOn w:val="Normal"/>
    <w:link w:val="FooterChar"/>
    <w:uiPriority w:val="99"/>
    <w:unhideWhenUsed/>
    <w:rsid w:val="003172D8"/>
    <w:pPr>
      <w:tabs>
        <w:tab w:val="center" w:pos="4513"/>
        <w:tab w:val="right" w:pos="9026"/>
      </w:tabs>
    </w:pPr>
  </w:style>
  <w:style w:type="character" w:customStyle="1" w:styleId="FooterChar">
    <w:name w:val="Footer Char"/>
    <w:basedOn w:val="DefaultParagraphFont"/>
    <w:link w:val="Footer"/>
    <w:uiPriority w:val="99"/>
    <w:rsid w:val="003172D8"/>
    <w:rPr>
      <w:rFonts w:ascii="Arial" w:eastAsia="Times New Roman" w:hAnsi="Arial" w:cs="Times New Roman"/>
      <w:sz w:val="24"/>
      <w:szCs w:val="24"/>
      <w:lang w:val="en-US"/>
    </w:rPr>
  </w:style>
  <w:style w:type="paragraph" w:styleId="BalloonText">
    <w:name w:val="Balloon Text"/>
    <w:basedOn w:val="Normal"/>
    <w:link w:val="BalloonTextChar"/>
    <w:uiPriority w:val="99"/>
    <w:semiHidden/>
    <w:unhideWhenUsed/>
    <w:rsid w:val="003172D8"/>
    <w:rPr>
      <w:rFonts w:ascii="Tahoma" w:hAnsi="Tahoma" w:cs="Tahoma"/>
      <w:sz w:val="16"/>
      <w:szCs w:val="16"/>
    </w:rPr>
  </w:style>
  <w:style w:type="character" w:customStyle="1" w:styleId="BalloonTextChar">
    <w:name w:val="Balloon Text Char"/>
    <w:basedOn w:val="DefaultParagraphFont"/>
    <w:link w:val="BalloonText"/>
    <w:uiPriority w:val="99"/>
    <w:semiHidden/>
    <w:rsid w:val="003172D8"/>
    <w:rPr>
      <w:rFonts w:ascii="Tahoma" w:eastAsia="Times New Roman" w:hAnsi="Tahoma" w:cs="Tahoma"/>
      <w:sz w:val="16"/>
      <w:szCs w:val="16"/>
      <w:lang w:val="en-US"/>
    </w:rPr>
  </w:style>
  <w:style w:type="paragraph" w:styleId="ListParagraph">
    <w:name w:val="List Paragraph"/>
    <w:basedOn w:val="Normal"/>
    <w:uiPriority w:val="34"/>
    <w:qFormat/>
    <w:rsid w:val="008564AD"/>
    <w:pPr>
      <w:ind w:left="720"/>
      <w:contextualSpacing/>
    </w:pPr>
  </w:style>
  <w:style w:type="character" w:customStyle="1" w:styleId="frag-name2">
    <w:name w:val="frag-name2"/>
    <w:basedOn w:val="DefaultParagraphFont"/>
    <w:rsid w:val="004A34BA"/>
  </w:style>
  <w:style w:type="character" w:customStyle="1" w:styleId="frag-extref5">
    <w:name w:val="frag-extref5"/>
    <w:basedOn w:val="DefaultParagraphFont"/>
    <w:rsid w:val="00534094"/>
  </w:style>
  <w:style w:type="character" w:customStyle="1" w:styleId="frag-citation1">
    <w:name w:val="frag-citation1"/>
    <w:basedOn w:val="DefaultParagraphFont"/>
    <w:rsid w:val="00534094"/>
    <w:rPr>
      <w:i w:val="0"/>
      <w:iCs w:val="0"/>
    </w:rPr>
  </w:style>
  <w:style w:type="character" w:customStyle="1" w:styleId="frag-heading">
    <w:name w:val="frag-heading"/>
    <w:basedOn w:val="DefaultParagraphFont"/>
    <w:rsid w:val="00592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844509">
      <w:bodyDiv w:val="1"/>
      <w:marLeft w:val="0"/>
      <w:marRight w:val="750"/>
      <w:marTop w:val="0"/>
      <w:marBottom w:val="0"/>
      <w:divBdr>
        <w:top w:val="none" w:sz="0" w:space="0" w:color="auto"/>
        <w:left w:val="none" w:sz="0" w:space="0" w:color="auto"/>
        <w:bottom w:val="none" w:sz="0" w:space="0" w:color="auto"/>
        <w:right w:val="none" w:sz="0" w:space="0" w:color="auto"/>
      </w:divBdr>
      <w:divsChild>
        <w:div w:id="1959330366">
          <w:marLeft w:val="0"/>
          <w:marRight w:val="0"/>
          <w:marTop w:val="0"/>
          <w:marBottom w:val="0"/>
          <w:divBdr>
            <w:top w:val="none" w:sz="0" w:space="0" w:color="auto"/>
            <w:left w:val="none" w:sz="0" w:space="0" w:color="auto"/>
            <w:bottom w:val="none" w:sz="0" w:space="0" w:color="auto"/>
            <w:right w:val="none" w:sz="0" w:space="0" w:color="auto"/>
          </w:divBdr>
          <w:divsChild>
            <w:div w:id="1660570892">
              <w:marLeft w:val="0"/>
              <w:marRight w:val="0"/>
              <w:marTop w:val="0"/>
              <w:marBottom w:val="0"/>
              <w:divBdr>
                <w:top w:val="none" w:sz="0" w:space="0" w:color="auto"/>
                <w:left w:val="none" w:sz="0" w:space="0" w:color="auto"/>
                <w:bottom w:val="none" w:sz="0" w:space="0" w:color="auto"/>
                <w:right w:val="none" w:sz="0" w:space="0" w:color="auto"/>
              </w:divBdr>
              <w:divsChild>
                <w:div w:id="1594706134">
                  <w:marLeft w:val="0"/>
                  <w:marRight w:val="0"/>
                  <w:marTop w:val="0"/>
                  <w:marBottom w:val="0"/>
                  <w:divBdr>
                    <w:top w:val="none" w:sz="0" w:space="0" w:color="auto"/>
                    <w:left w:val="none" w:sz="0" w:space="0" w:color="auto"/>
                    <w:bottom w:val="none" w:sz="0" w:space="0" w:color="auto"/>
                    <w:right w:val="none" w:sz="0" w:space="0" w:color="auto"/>
                  </w:divBdr>
                  <w:divsChild>
                    <w:div w:id="758908938">
                      <w:marLeft w:val="-225"/>
                      <w:marRight w:val="-225"/>
                      <w:marTop w:val="0"/>
                      <w:marBottom w:val="0"/>
                      <w:divBdr>
                        <w:top w:val="none" w:sz="0" w:space="0" w:color="auto"/>
                        <w:left w:val="none" w:sz="0" w:space="0" w:color="auto"/>
                        <w:bottom w:val="none" w:sz="0" w:space="0" w:color="auto"/>
                        <w:right w:val="none" w:sz="0" w:space="0" w:color="auto"/>
                      </w:divBdr>
                      <w:divsChild>
                        <w:div w:id="432407640">
                          <w:marLeft w:val="0"/>
                          <w:marRight w:val="0"/>
                          <w:marTop w:val="0"/>
                          <w:marBottom w:val="0"/>
                          <w:divBdr>
                            <w:top w:val="none" w:sz="0" w:space="0" w:color="auto"/>
                            <w:left w:val="none" w:sz="0" w:space="0" w:color="auto"/>
                            <w:bottom w:val="none" w:sz="0" w:space="0" w:color="auto"/>
                            <w:right w:val="none" w:sz="0" w:space="0" w:color="auto"/>
                          </w:divBdr>
                          <w:divsChild>
                            <w:div w:id="842939453">
                              <w:marLeft w:val="0"/>
                              <w:marRight w:val="0"/>
                              <w:marTop w:val="0"/>
                              <w:marBottom w:val="0"/>
                              <w:divBdr>
                                <w:top w:val="none" w:sz="0" w:space="0" w:color="auto"/>
                                <w:left w:val="none" w:sz="0" w:space="0" w:color="auto"/>
                                <w:bottom w:val="none" w:sz="0" w:space="0" w:color="auto"/>
                                <w:right w:val="none" w:sz="0" w:space="0" w:color="auto"/>
                              </w:divBdr>
                              <w:divsChild>
                                <w:div w:id="1108352620">
                                  <w:marLeft w:val="0"/>
                                  <w:marRight w:val="0"/>
                                  <w:marTop w:val="0"/>
                                  <w:marBottom w:val="0"/>
                                  <w:divBdr>
                                    <w:top w:val="none" w:sz="0" w:space="0" w:color="auto"/>
                                    <w:left w:val="none" w:sz="0" w:space="0" w:color="auto"/>
                                    <w:bottom w:val="none" w:sz="0" w:space="0" w:color="auto"/>
                                    <w:right w:val="none" w:sz="0" w:space="0" w:color="auto"/>
                                  </w:divBdr>
                                  <w:divsChild>
                                    <w:div w:id="1825268735">
                                      <w:marLeft w:val="0"/>
                                      <w:marRight w:val="0"/>
                                      <w:marTop w:val="0"/>
                                      <w:marBottom w:val="0"/>
                                      <w:divBdr>
                                        <w:top w:val="none" w:sz="0" w:space="0" w:color="auto"/>
                                        <w:left w:val="none" w:sz="0" w:space="0" w:color="auto"/>
                                        <w:bottom w:val="none" w:sz="0" w:space="0" w:color="auto"/>
                                        <w:right w:val="none" w:sz="0" w:space="0" w:color="auto"/>
                                      </w:divBdr>
                                      <w:divsChild>
                                        <w:div w:id="206664326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015717639">
                                              <w:blockQuote w:val="1"/>
                                              <w:marLeft w:val="0"/>
                                              <w:marRight w:val="0"/>
                                              <w:marTop w:val="0"/>
                                              <w:marBottom w:val="300"/>
                                              <w:divBdr>
                                                <w:top w:val="none" w:sz="0" w:space="0" w:color="auto"/>
                                                <w:left w:val="single" w:sz="36" w:space="15" w:color="EEEEEE"/>
                                                <w:bottom w:val="none" w:sz="0" w:space="0" w:color="auto"/>
                                                <w:right w:val="none" w:sz="0" w:space="0" w:color="auto"/>
                                              </w:divBdr>
                                            </w:div>
                                            <w:div w:id="85835175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489587621">
                                                  <w:marLeft w:val="0"/>
                                                  <w:marRight w:val="0"/>
                                                  <w:marTop w:val="0"/>
                                                  <w:marBottom w:val="0"/>
                                                  <w:divBdr>
                                                    <w:top w:val="none" w:sz="0" w:space="0" w:color="auto"/>
                                                    <w:left w:val="none" w:sz="0" w:space="0" w:color="auto"/>
                                                    <w:bottom w:val="none" w:sz="0" w:space="0" w:color="auto"/>
                                                    <w:right w:val="none" w:sz="0" w:space="0" w:color="auto"/>
                                                  </w:divBdr>
                                                  <w:divsChild>
                                                    <w:div w:id="152620725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20426082">
                                                  <w:marLeft w:val="0"/>
                                                  <w:marRight w:val="0"/>
                                                  <w:marTop w:val="0"/>
                                                  <w:marBottom w:val="0"/>
                                                  <w:divBdr>
                                                    <w:top w:val="none" w:sz="0" w:space="0" w:color="auto"/>
                                                    <w:left w:val="none" w:sz="0" w:space="0" w:color="auto"/>
                                                    <w:bottom w:val="none" w:sz="0" w:space="0" w:color="auto"/>
                                                    <w:right w:val="none" w:sz="0" w:space="0" w:color="auto"/>
                                                  </w:divBdr>
                                                  <w:divsChild>
                                                    <w:div w:id="15013090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31359351">
                                                  <w:marLeft w:val="0"/>
                                                  <w:marRight w:val="0"/>
                                                  <w:marTop w:val="0"/>
                                                  <w:marBottom w:val="0"/>
                                                  <w:divBdr>
                                                    <w:top w:val="none" w:sz="0" w:space="0" w:color="auto"/>
                                                    <w:left w:val="none" w:sz="0" w:space="0" w:color="auto"/>
                                                    <w:bottom w:val="none" w:sz="0" w:space="0" w:color="auto"/>
                                                    <w:right w:val="none" w:sz="0" w:space="0" w:color="auto"/>
                                                  </w:divBdr>
                                                  <w:divsChild>
                                                    <w:div w:id="177543814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969507198">
                                                          <w:marLeft w:val="0"/>
                                                          <w:marRight w:val="0"/>
                                                          <w:marTop w:val="0"/>
                                                          <w:marBottom w:val="0"/>
                                                          <w:divBdr>
                                                            <w:top w:val="none" w:sz="0" w:space="0" w:color="auto"/>
                                                            <w:left w:val="none" w:sz="0" w:space="0" w:color="auto"/>
                                                            <w:bottom w:val="none" w:sz="0" w:space="0" w:color="auto"/>
                                                            <w:right w:val="none" w:sz="0" w:space="0" w:color="auto"/>
                                                          </w:divBdr>
                                                          <w:divsChild>
                                                            <w:div w:id="97714653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22062026">
                                                          <w:marLeft w:val="0"/>
                                                          <w:marRight w:val="0"/>
                                                          <w:marTop w:val="0"/>
                                                          <w:marBottom w:val="0"/>
                                                          <w:divBdr>
                                                            <w:top w:val="none" w:sz="0" w:space="0" w:color="auto"/>
                                                            <w:left w:val="none" w:sz="0" w:space="0" w:color="auto"/>
                                                            <w:bottom w:val="none" w:sz="0" w:space="0" w:color="auto"/>
                                                            <w:right w:val="none" w:sz="0" w:space="0" w:color="auto"/>
                                                          </w:divBdr>
                                                          <w:divsChild>
                                                            <w:div w:id="129717612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 w:id="186005023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35620930">
                                                  <w:marLeft w:val="0"/>
                                                  <w:marRight w:val="0"/>
                                                  <w:marTop w:val="0"/>
                                                  <w:marBottom w:val="0"/>
                                                  <w:divBdr>
                                                    <w:top w:val="none" w:sz="0" w:space="0" w:color="auto"/>
                                                    <w:left w:val="none" w:sz="0" w:space="0" w:color="auto"/>
                                                    <w:bottom w:val="none" w:sz="0" w:space="0" w:color="auto"/>
                                                    <w:right w:val="none" w:sz="0" w:space="0" w:color="auto"/>
                                                  </w:divBdr>
                                                  <w:divsChild>
                                                    <w:div w:id="71404418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03094503">
                                                  <w:marLeft w:val="0"/>
                                                  <w:marRight w:val="0"/>
                                                  <w:marTop w:val="0"/>
                                                  <w:marBottom w:val="0"/>
                                                  <w:divBdr>
                                                    <w:top w:val="none" w:sz="0" w:space="0" w:color="auto"/>
                                                    <w:left w:val="none" w:sz="0" w:space="0" w:color="auto"/>
                                                    <w:bottom w:val="none" w:sz="0" w:space="0" w:color="auto"/>
                                                    <w:right w:val="none" w:sz="0" w:space="0" w:color="auto"/>
                                                  </w:divBdr>
                                                  <w:divsChild>
                                                    <w:div w:id="65229332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05652593">
                                                  <w:marLeft w:val="0"/>
                                                  <w:marRight w:val="0"/>
                                                  <w:marTop w:val="0"/>
                                                  <w:marBottom w:val="0"/>
                                                  <w:divBdr>
                                                    <w:top w:val="none" w:sz="0" w:space="0" w:color="auto"/>
                                                    <w:left w:val="none" w:sz="0" w:space="0" w:color="auto"/>
                                                    <w:bottom w:val="none" w:sz="0" w:space="0" w:color="auto"/>
                                                    <w:right w:val="none" w:sz="0" w:space="0" w:color="auto"/>
                                                  </w:divBdr>
                                                  <w:divsChild>
                                                    <w:div w:id="155958327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297893">
      <w:bodyDiv w:val="1"/>
      <w:marLeft w:val="0"/>
      <w:marRight w:val="750"/>
      <w:marTop w:val="0"/>
      <w:marBottom w:val="0"/>
      <w:divBdr>
        <w:top w:val="none" w:sz="0" w:space="0" w:color="auto"/>
        <w:left w:val="none" w:sz="0" w:space="0" w:color="auto"/>
        <w:bottom w:val="none" w:sz="0" w:space="0" w:color="auto"/>
        <w:right w:val="none" w:sz="0" w:space="0" w:color="auto"/>
      </w:divBdr>
      <w:divsChild>
        <w:div w:id="904225322">
          <w:marLeft w:val="0"/>
          <w:marRight w:val="0"/>
          <w:marTop w:val="0"/>
          <w:marBottom w:val="0"/>
          <w:divBdr>
            <w:top w:val="none" w:sz="0" w:space="0" w:color="auto"/>
            <w:left w:val="none" w:sz="0" w:space="0" w:color="auto"/>
            <w:bottom w:val="none" w:sz="0" w:space="0" w:color="auto"/>
            <w:right w:val="none" w:sz="0" w:space="0" w:color="auto"/>
          </w:divBdr>
          <w:divsChild>
            <w:div w:id="806818552">
              <w:marLeft w:val="0"/>
              <w:marRight w:val="0"/>
              <w:marTop w:val="0"/>
              <w:marBottom w:val="0"/>
              <w:divBdr>
                <w:top w:val="none" w:sz="0" w:space="0" w:color="auto"/>
                <w:left w:val="none" w:sz="0" w:space="0" w:color="auto"/>
                <w:bottom w:val="none" w:sz="0" w:space="0" w:color="auto"/>
                <w:right w:val="none" w:sz="0" w:space="0" w:color="auto"/>
              </w:divBdr>
              <w:divsChild>
                <w:div w:id="2146896534">
                  <w:marLeft w:val="0"/>
                  <w:marRight w:val="0"/>
                  <w:marTop w:val="0"/>
                  <w:marBottom w:val="0"/>
                  <w:divBdr>
                    <w:top w:val="none" w:sz="0" w:space="0" w:color="auto"/>
                    <w:left w:val="none" w:sz="0" w:space="0" w:color="auto"/>
                    <w:bottom w:val="none" w:sz="0" w:space="0" w:color="auto"/>
                    <w:right w:val="none" w:sz="0" w:space="0" w:color="auto"/>
                  </w:divBdr>
                  <w:divsChild>
                    <w:div w:id="1712456457">
                      <w:marLeft w:val="-225"/>
                      <w:marRight w:val="-225"/>
                      <w:marTop w:val="0"/>
                      <w:marBottom w:val="0"/>
                      <w:divBdr>
                        <w:top w:val="none" w:sz="0" w:space="0" w:color="auto"/>
                        <w:left w:val="none" w:sz="0" w:space="0" w:color="auto"/>
                        <w:bottom w:val="none" w:sz="0" w:space="0" w:color="auto"/>
                        <w:right w:val="none" w:sz="0" w:space="0" w:color="auto"/>
                      </w:divBdr>
                      <w:divsChild>
                        <w:div w:id="1258757501">
                          <w:marLeft w:val="0"/>
                          <w:marRight w:val="0"/>
                          <w:marTop w:val="0"/>
                          <w:marBottom w:val="0"/>
                          <w:divBdr>
                            <w:top w:val="none" w:sz="0" w:space="0" w:color="auto"/>
                            <w:left w:val="none" w:sz="0" w:space="0" w:color="auto"/>
                            <w:bottom w:val="none" w:sz="0" w:space="0" w:color="auto"/>
                            <w:right w:val="none" w:sz="0" w:space="0" w:color="auto"/>
                          </w:divBdr>
                          <w:divsChild>
                            <w:div w:id="155345505">
                              <w:marLeft w:val="0"/>
                              <w:marRight w:val="0"/>
                              <w:marTop w:val="0"/>
                              <w:marBottom w:val="0"/>
                              <w:divBdr>
                                <w:top w:val="none" w:sz="0" w:space="0" w:color="auto"/>
                                <w:left w:val="none" w:sz="0" w:space="0" w:color="auto"/>
                                <w:bottom w:val="none" w:sz="0" w:space="0" w:color="auto"/>
                                <w:right w:val="none" w:sz="0" w:space="0" w:color="auto"/>
                              </w:divBdr>
                              <w:divsChild>
                                <w:div w:id="1093821110">
                                  <w:marLeft w:val="0"/>
                                  <w:marRight w:val="0"/>
                                  <w:marTop w:val="0"/>
                                  <w:marBottom w:val="0"/>
                                  <w:divBdr>
                                    <w:top w:val="none" w:sz="0" w:space="0" w:color="auto"/>
                                    <w:left w:val="none" w:sz="0" w:space="0" w:color="auto"/>
                                    <w:bottom w:val="none" w:sz="0" w:space="0" w:color="auto"/>
                                    <w:right w:val="none" w:sz="0" w:space="0" w:color="auto"/>
                                  </w:divBdr>
                                  <w:divsChild>
                                    <w:div w:id="1737122241">
                                      <w:marLeft w:val="0"/>
                                      <w:marRight w:val="0"/>
                                      <w:marTop w:val="0"/>
                                      <w:marBottom w:val="0"/>
                                      <w:divBdr>
                                        <w:top w:val="none" w:sz="0" w:space="0" w:color="auto"/>
                                        <w:left w:val="none" w:sz="0" w:space="0" w:color="auto"/>
                                        <w:bottom w:val="none" w:sz="0" w:space="0" w:color="auto"/>
                                        <w:right w:val="none" w:sz="0" w:space="0" w:color="auto"/>
                                      </w:divBdr>
                                      <w:divsChild>
                                        <w:div w:id="174341132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9696852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0011612">
                                                  <w:marLeft w:val="0"/>
                                                  <w:marRight w:val="0"/>
                                                  <w:marTop w:val="0"/>
                                                  <w:marBottom w:val="0"/>
                                                  <w:divBdr>
                                                    <w:top w:val="none" w:sz="0" w:space="0" w:color="auto"/>
                                                    <w:left w:val="none" w:sz="0" w:space="0" w:color="auto"/>
                                                    <w:bottom w:val="none" w:sz="0" w:space="0" w:color="auto"/>
                                                    <w:right w:val="none" w:sz="0" w:space="0" w:color="auto"/>
                                                  </w:divBdr>
                                                  <w:divsChild>
                                                    <w:div w:id="32771230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32592326">
                                                  <w:marLeft w:val="0"/>
                                                  <w:marRight w:val="0"/>
                                                  <w:marTop w:val="0"/>
                                                  <w:marBottom w:val="0"/>
                                                  <w:divBdr>
                                                    <w:top w:val="none" w:sz="0" w:space="0" w:color="auto"/>
                                                    <w:left w:val="none" w:sz="0" w:space="0" w:color="auto"/>
                                                    <w:bottom w:val="none" w:sz="0" w:space="0" w:color="auto"/>
                                                    <w:right w:val="none" w:sz="0" w:space="0" w:color="auto"/>
                                                  </w:divBdr>
                                                  <w:divsChild>
                                                    <w:div w:id="202532613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1763924">
      <w:bodyDiv w:val="1"/>
      <w:marLeft w:val="0"/>
      <w:marRight w:val="679"/>
      <w:marTop w:val="0"/>
      <w:marBottom w:val="0"/>
      <w:divBdr>
        <w:top w:val="none" w:sz="0" w:space="0" w:color="auto"/>
        <w:left w:val="none" w:sz="0" w:space="0" w:color="auto"/>
        <w:bottom w:val="none" w:sz="0" w:space="0" w:color="auto"/>
        <w:right w:val="none" w:sz="0" w:space="0" w:color="auto"/>
      </w:divBdr>
      <w:divsChild>
        <w:div w:id="1411926815">
          <w:marLeft w:val="0"/>
          <w:marRight w:val="0"/>
          <w:marTop w:val="0"/>
          <w:marBottom w:val="0"/>
          <w:divBdr>
            <w:top w:val="none" w:sz="0" w:space="0" w:color="auto"/>
            <w:left w:val="none" w:sz="0" w:space="0" w:color="auto"/>
            <w:bottom w:val="none" w:sz="0" w:space="0" w:color="auto"/>
            <w:right w:val="none" w:sz="0" w:space="0" w:color="auto"/>
          </w:divBdr>
          <w:divsChild>
            <w:div w:id="857622342">
              <w:marLeft w:val="0"/>
              <w:marRight w:val="0"/>
              <w:marTop w:val="0"/>
              <w:marBottom w:val="0"/>
              <w:divBdr>
                <w:top w:val="none" w:sz="0" w:space="0" w:color="auto"/>
                <w:left w:val="none" w:sz="0" w:space="0" w:color="auto"/>
                <w:bottom w:val="none" w:sz="0" w:space="0" w:color="auto"/>
                <w:right w:val="none" w:sz="0" w:space="0" w:color="auto"/>
              </w:divBdr>
              <w:divsChild>
                <w:div w:id="620302752">
                  <w:marLeft w:val="0"/>
                  <w:marRight w:val="0"/>
                  <w:marTop w:val="0"/>
                  <w:marBottom w:val="0"/>
                  <w:divBdr>
                    <w:top w:val="none" w:sz="0" w:space="0" w:color="auto"/>
                    <w:left w:val="none" w:sz="0" w:space="0" w:color="auto"/>
                    <w:bottom w:val="none" w:sz="0" w:space="0" w:color="auto"/>
                    <w:right w:val="none" w:sz="0" w:space="0" w:color="auto"/>
                  </w:divBdr>
                  <w:divsChild>
                    <w:div w:id="1558130582">
                      <w:marLeft w:val="-204"/>
                      <w:marRight w:val="-204"/>
                      <w:marTop w:val="0"/>
                      <w:marBottom w:val="0"/>
                      <w:divBdr>
                        <w:top w:val="none" w:sz="0" w:space="0" w:color="auto"/>
                        <w:left w:val="none" w:sz="0" w:space="0" w:color="auto"/>
                        <w:bottom w:val="none" w:sz="0" w:space="0" w:color="auto"/>
                        <w:right w:val="none" w:sz="0" w:space="0" w:color="auto"/>
                      </w:divBdr>
                      <w:divsChild>
                        <w:div w:id="1658731056">
                          <w:marLeft w:val="0"/>
                          <w:marRight w:val="0"/>
                          <w:marTop w:val="0"/>
                          <w:marBottom w:val="0"/>
                          <w:divBdr>
                            <w:top w:val="none" w:sz="0" w:space="0" w:color="auto"/>
                            <w:left w:val="none" w:sz="0" w:space="0" w:color="auto"/>
                            <w:bottom w:val="none" w:sz="0" w:space="0" w:color="auto"/>
                            <w:right w:val="none" w:sz="0" w:space="0" w:color="auto"/>
                          </w:divBdr>
                          <w:divsChild>
                            <w:div w:id="346366834">
                              <w:marLeft w:val="0"/>
                              <w:marRight w:val="0"/>
                              <w:marTop w:val="0"/>
                              <w:marBottom w:val="0"/>
                              <w:divBdr>
                                <w:top w:val="none" w:sz="0" w:space="0" w:color="auto"/>
                                <w:left w:val="none" w:sz="0" w:space="0" w:color="auto"/>
                                <w:bottom w:val="none" w:sz="0" w:space="0" w:color="auto"/>
                                <w:right w:val="none" w:sz="0" w:space="0" w:color="auto"/>
                              </w:divBdr>
                              <w:divsChild>
                                <w:div w:id="1262762836">
                                  <w:marLeft w:val="0"/>
                                  <w:marRight w:val="0"/>
                                  <w:marTop w:val="0"/>
                                  <w:marBottom w:val="0"/>
                                  <w:divBdr>
                                    <w:top w:val="none" w:sz="0" w:space="0" w:color="auto"/>
                                    <w:left w:val="none" w:sz="0" w:space="0" w:color="auto"/>
                                    <w:bottom w:val="none" w:sz="0" w:space="0" w:color="auto"/>
                                    <w:right w:val="none" w:sz="0" w:space="0" w:color="auto"/>
                                  </w:divBdr>
                                  <w:divsChild>
                                    <w:div w:id="662200569">
                                      <w:marLeft w:val="0"/>
                                      <w:marRight w:val="0"/>
                                      <w:marTop w:val="0"/>
                                      <w:marBottom w:val="0"/>
                                      <w:divBdr>
                                        <w:top w:val="none" w:sz="0" w:space="0" w:color="auto"/>
                                        <w:left w:val="none" w:sz="0" w:space="0" w:color="auto"/>
                                        <w:bottom w:val="none" w:sz="0" w:space="0" w:color="auto"/>
                                        <w:right w:val="none" w:sz="0" w:space="0" w:color="auto"/>
                                      </w:divBdr>
                                      <w:divsChild>
                                        <w:div w:id="1052120223">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913853150">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337149381">
                                                  <w:marLeft w:val="0"/>
                                                  <w:marRight w:val="0"/>
                                                  <w:marTop w:val="0"/>
                                                  <w:marBottom w:val="0"/>
                                                  <w:divBdr>
                                                    <w:top w:val="none" w:sz="0" w:space="0" w:color="auto"/>
                                                    <w:left w:val="none" w:sz="0" w:space="0" w:color="auto"/>
                                                    <w:bottom w:val="none" w:sz="0" w:space="0" w:color="auto"/>
                                                    <w:right w:val="none" w:sz="0" w:space="0" w:color="auto"/>
                                                  </w:divBdr>
                                                  <w:divsChild>
                                                    <w:div w:id="421225778">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187914229">
                                                  <w:marLeft w:val="0"/>
                                                  <w:marRight w:val="0"/>
                                                  <w:marTop w:val="0"/>
                                                  <w:marBottom w:val="0"/>
                                                  <w:divBdr>
                                                    <w:top w:val="none" w:sz="0" w:space="0" w:color="auto"/>
                                                    <w:left w:val="none" w:sz="0" w:space="0" w:color="auto"/>
                                                    <w:bottom w:val="none" w:sz="0" w:space="0" w:color="auto"/>
                                                    <w:right w:val="none" w:sz="0" w:space="0" w:color="auto"/>
                                                  </w:divBdr>
                                                  <w:divsChild>
                                                    <w:div w:id="169267835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919101712">
                                                  <w:marLeft w:val="0"/>
                                                  <w:marRight w:val="0"/>
                                                  <w:marTop w:val="0"/>
                                                  <w:marBottom w:val="0"/>
                                                  <w:divBdr>
                                                    <w:top w:val="none" w:sz="0" w:space="0" w:color="auto"/>
                                                    <w:left w:val="none" w:sz="0" w:space="0" w:color="auto"/>
                                                    <w:bottom w:val="none" w:sz="0" w:space="0" w:color="auto"/>
                                                    <w:right w:val="none" w:sz="0" w:space="0" w:color="auto"/>
                                                  </w:divBdr>
                                                  <w:divsChild>
                                                    <w:div w:id="104949816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8344714">
      <w:bodyDiv w:val="1"/>
      <w:marLeft w:val="0"/>
      <w:marRight w:val="679"/>
      <w:marTop w:val="0"/>
      <w:marBottom w:val="0"/>
      <w:divBdr>
        <w:top w:val="none" w:sz="0" w:space="0" w:color="auto"/>
        <w:left w:val="none" w:sz="0" w:space="0" w:color="auto"/>
        <w:bottom w:val="none" w:sz="0" w:space="0" w:color="auto"/>
        <w:right w:val="none" w:sz="0" w:space="0" w:color="auto"/>
      </w:divBdr>
      <w:divsChild>
        <w:div w:id="303780273">
          <w:marLeft w:val="0"/>
          <w:marRight w:val="0"/>
          <w:marTop w:val="0"/>
          <w:marBottom w:val="0"/>
          <w:divBdr>
            <w:top w:val="none" w:sz="0" w:space="0" w:color="auto"/>
            <w:left w:val="none" w:sz="0" w:space="0" w:color="auto"/>
            <w:bottom w:val="none" w:sz="0" w:space="0" w:color="auto"/>
            <w:right w:val="none" w:sz="0" w:space="0" w:color="auto"/>
          </w:divBdr>
          <w:divsChild>
            <w:div w:id="2070884639">
              <w:marLeft w:val="0"/>
              <w:marRight w:val="0"/>
              <w:marTop w:val="0"/>
              <w:marBottom w:val="0"/>
              <w:divBdr>
                <w:top w:val="none" w:sz="0" w:space="0" w:color="auto"/>
                <w:left w:val="none" w:sz="0" w:space="0" w:color="auto"/>
                <w:bottom w:val="none" w:sz="0" w:space="0" w:color="auto"/>
                <w:right w:val="none" w:sz="0" w:space="0" w:color="auto"/>
              </w:divBdr>
              <w:divsChild>
                <w:div w:id="718015432">
                  <w:marLeft w:val="0"/>
                  <w:marRight w:val="0"/>
                  <w:marTop w:val="0"/>
                  <w:marBottom w:val="0"/>
                  <w:divBdr>
                    <w:top w:val="none" w:sz="0" w:space="0" w:color="auto"/>
                    <w:left w:val="none" w:sz="0" w:space="0" w:color="auto"/>
                    <w:bottom w:val="none" w:sz="0" w:space="0" w:color="auto"/>
                    <w:right w:val="none" w:sz="0" w:space="0" w:color="auto"/>
                  </w:divBdr>
                  <w:divsChild>
                    <w:div w:id="1086225805">
                      <w:marLeft w:val="-204"/>
                      <w:marRight w:val="-204"/>
                      <w:marTop w:val="0"/>
                      <w:marBottom w:val="0"/>
                      <w:divBdr>
                        <w:top w:val="none" w:sz="0" w:space="0" w:color="auto"/>
                        <w:left w:val="none" w:sz="0" w:space="0" w:color="auto"/>
                        <w:bottom w:val="none" w:sz="0" w:space="0" w:color="auto"/>
                        <w:right w:val="none" w:sz="0" w:space="0" w:color="auto"/>
                      </w:divBdr>
                      <w:divsChild>
                        <w:div w:id="1105032001">
                          <w:marLeft w:val="0"/>
                          <w:marRight w:val="0"/>
                          <w:marTop w:val="0"/>
                          <w:marBottom w:val="0"/>
                          <w:divBdr>
                            <w:top w:val="none" w:sz="0" w:space="0" w:color="auto"/>
                            <w:left w:val="none" w:sz="0" w:space="0" w:color="auto"/>
                            <w:bottom w:val="none" w:sz="0" w:space="0" w:color="auto"/>
                            <w:right w:val="none" w:sz="0" w:space="0" w:color="auto"/>
                          </w:divBdr>
                          <w:divsChild>
                            <w:div w:id="1977711666">
                              <w:marLeft w:val="0"/>
                              <w:marRight w:val="0"/>
                              <w:marTop w:val="0"/>
                              <w:marBottom w:val="0"/>
                              <w:divBdr>
                                <w:top w:val="none" w:sz="0" w:space="0" w:color="auto"/>
                                <w:left w:val="none" w:sz="0" w:space="0" w:color="auto"/>
                                <w:bottom w:val="none" w:sz="0" w:space="0" w:color="auto"/>
                                <w:right w:val="none" w:sz="0" w:space="0" w:color="auto"/>
                              </w:divBdr>
                              <w:divsChild>
                                <w:div w:id="238028250">
                                  <w:marLeft w:val="0"/>
                                  <w:marRight w:val="0"/>
                                  <w:marTop w:val="0"/>
                                  <w:marBottom w:val="0"/>
                                  <w:divBdr>
                                    <w:top w:val="none" w:sz="0" w:space="0" w:color="auto"/>
                                    <w:left w:val="none" w:sz="0" w:space="0" w:color="auto"/>
                                    <w:bottom w:val="none" w:sz="0" w:space="0" w:color="auto"/>
                                    <w:right w:val="none" w:sz="0" w:space="0" w:color="auto"/>
                                  </w:divBdr>
                                  <w:divsChild>
                                    <w:div w:id="63258542">
                                      <w:marLeft w:val="0"/>
                                      <w:marRight w:val="0"/>
                                      <w:marTop w:val="0"/>
                                      <w:marBottom w:val="0"/>
                                      <w:divBdr>
                                        <w:top w:val="none" w:sz="0" w:space="0" w:color="auto"/>
                                        <w:left w:val="none" w:sz="0" w:space="0" w:color="auto"/>
                                        <w:bottom w:val="none" w:sz="0" w:space="0" w:color="auto"/>
                                        <w:right w:val="none" w:sz="0" w:space="0" w:color="auto"/>
                                      </w:divBdr>
                                      <w:divsChild>
                                        <w:div w:id="2137869264">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61127412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669552940">
                                                  <w:marLeft w:val="0"/>
                                                  <w:marRight w:val="0"/>
                                                  <w:marTop w:val="0"/>
                                                  <w:marBottom w:val="0"/>
                                                  <w:divBdr>
                                                    <w:top w:val="none" w:sz="0" w:space="0" w:color="auto"/>
                                                    <w:left w:val="none" w:sz="0" w:space="0" w:color="auto"/>
                                                    <w:bottom w:val="none" w:sz="0" w:space="0" w:color="auto"/>
                                                    <w:right w:val="none" w:sz="0" w:space="0" w:color="auto"/>
                                                  </w:divBdr>
                                                  <w:divsChild>
                                                    <w:div w:id="20336745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521356155">
                                                  <w:marLeft w:val="0"/>
                                                  <w:marRight w:val="0"/>
                                                  <w:marTop w:val="0"/>
                                                  <w:marBottom w:val="0"/>
                                                  <w:divBdr>
                                                    <w:top w:val="none" w:sz="0" w:space="0" w:color="auto"/>
                                                    <w:left w:val="none" w:sz="0" w:space="0" w:color="auto"/>
                                                    <w:bottom w:val="none" w:sz="0" w:space="0" w:color="auto"/>
                                                    <w:right w:val="none" w:sz="0" w:space="0" w:color="auto"/>
                                                  </w:divBdr>
                                                  <w:divsChild>
                                                    <w:div w:id="99333504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286302">
      <w:bodyDiv w:val="1"/>
      <w:marLeft w:val="0"/>
      <w:marRight w:val="750"/>
      <w:marTop w:val="0"/>
      <w:marBottom w:val="0"/>
      <w:divBdr>
        <w:top w:val="none" w:sz="0" w:space="0" w:color="auto"/>
        <w:left w:val="none" w:sz="0" w:space="0" w:color="auto"/>
        <w:bottom w:val="none" w:sz="0" w:space="0" w:color="auto"/>
        <w:right w:val="none" w:sz="0" w:space="0" w:color="auto"/>
      </w:divBdr>
      <w:divsChild>
        <w:div w:id="273369477">
          <w:marLeft w:val="0"/>
          <w:marRight w:val="0"/>
          <w:marTop w:val="0"/>
          <w:marBottom w:val="0"/>
          <w:divBdr>
            <w:top w:val="none" w:sz="0" w:space="0" w:color="auto"/>
            <w:left w:val="none" w:sz="0" w:space="0" w:color="auto"/>
            <w:bottom w:val="none" w:sz="0" w:space="0" w:color="auto"/>
            <w:right w:val="none" w:sz="0" w:space="0" w:color="auto"/>
          </w:divBdr>
          <w:divsChild>
            <w:div w:id="1449159434">
              <w:marLeft w:val="0"/>
              <w:marRight w:val="0"/>
              <w:marTop w:val="0"/>
              <w:marBottom w:val="0"/>
              <w:divBdr>
                <w:top w:val="none" w:sz="0" w:space="0" w:color="auto"/>
                <w:left w:val="none" w:sz="0" w:space="0" w:color="auto"/>
                <w:bottom w:val="none" w:sz="0" w:space="0" w:color="auto"/>
                <w:right w:val="none" w:sz="0" w:space="0" w:color="auto"/>
              </w:divBdr>
              <w:divsChild>
                <w:div w:id="486440177">
                  <w:marLeft w:val="0"/>
                  <w:marRight w:val="0"/>
                  <w:marTop w:val="0"/>
                  <w:marBottom w:val="0"/>
                  <w:divBdr>
                    <w:top w:val="none" w:sz="0" w:space="0" w:color="auto"/>
                    <w:left w:val="none" w:sz="0" w:space="0" w:color="auto"/>
                    <w:bottom w:val="none" w:sz="0" w:space="0" w:color="auto"/>
                    <w:right w:val="none" w:sz="0" w:space="0" w:color="auto"/>
                  </w:divBdr>
                  <w:divsChild>
                    <w:div w:id="781804051">
                      <w:marLeft w:val="-225"/>
                      <w:marRight w:val="-225"/>
                      <w:marTop w:val="0"/>
                      <w:marBottom w:val="0"/>
                      <w:divBdr>
                        <w:top w:val="none" w:sz="0" w:space="0" w:color="auto"/>
                        <w:left w:val="none" w:sz="0" w:space="0" w:color="auto"/>
                        <w:bottom w:val="none" w:sz="0" w:space="0" w:color="auto"/>
                        <w:right w:val="none" w:sz="0" w:space="0" w:color="auto"/>
                      </w:divBdr>
                      <w:divsChild>
                        <w:div w:id="1117523830">
                          <w:marLeft w:val="0"/>
                          <w:marRight w:val="0"/>
                          <w:marTop w:val="0"/>
                          <w:marBottom w:val="0"/>
                          <w:divBdr>
                            <w:top w:val="none" w:sz="0" w:space="0" w:color="auto"/>
                            <w:left w:val="none" w:sz="0" w:space="0" w:color="auto"/>
                            <w:bottom w:val="none" w:sz="0" w:space="0" w:color="auto"/>
                            <w:right w:val="none" w:sz="0" w:space="0" w:color="auto"/>
                          </w:divBdr>
                          <w:divsChild>
                            <w:div w:id="566185634">
                              <w:marLeft w:val="0"/>
                              <w:marRight w:val="0"/>
                              <w:marTop w:val="0"/>
                              <w:marBottom w:val="0"/>
                              <w:divBdr>
                                <w:top w:val="none" w:sz="0" w:space="0" w:color="auto"/>
                                <w:left w:val="none" w:sz="0" w:space="0" w:color="auto"/>
                                <w:bottom w:val="none" w:sz="0" w:space="0" w:color="auto"/>
                                <w:right w:val="none" w:sz="0" w:space="0" w:color="auto"/>
                              </w:divBdr>
                              <w:divsChild>
                                <w:div w:id="545457073">
                                  <w:marLeft w:val="0"/>
                                  <w:marRight w:val="0"/>
                                  <w:marTop w:val="0"/>
                                  <w:marBottom w:val="0"/>
                                  <w:divBdr>
                                    <w:top w:val="none" w:sz="0" w:space="0" w:color="auto"/>
                                    <w:left w:val="none" w:sz="0" w:space="0" w:color="auto"/>
                                    <w:bottom w:val="none" w:sz="0" w:space="0" w:color="auto"/>
                                    <w:right w:val="none" w:sz="0" w:space="0" w:color="auto"/>
                                  </w:divBdr>
                                  <w:divsChild>
                                    <w:div w:id="1607040370">
                                      <w:marLeft w:val="0"/>
                                      <w:marRight w:val="0"/>
                                      <w:marTop w:val="0"/>
                                      <w:marBottom w:val="0"/>
                                      <w:divBdr>
                                        <w:top w:val="none" w:sz="0" w:space="0" w:color="auto"/>
                                        <w:left w:val="none" w:sz="0" w:space="0" w:color="auto"/>
                                        <w:bottom w:val="none" w:sz="0" w:space="0" w:color="auto"/>
                                        <w:right w:val="none" w:sz="0" w:space="0" w:color="auto"/>
                                      </w:divBdr>
                                      <w:divsChild>
                                        <w:div w:id="156344805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90729989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6296287">
                                                  <w:marLeft w:val="0"/>
                                                  <w:marRight w:val="0"/>
                                                  <w:marTop w:val="0"/>
                                                  <w:marBottom w:val="0"/>
                                                  <w:divBdr>
                                                    <w:top w:val="none" w:sz="0" w:space="0" w:color="auto"/>
                                                    <w:left w:val="none" w:sz="0" w:space="0" w:color="auto"/>
                                                    <w:bottom w:val="none" w:sz="0" w:space="0" w:color="auto"/>
                                                    <w:right w:val="none" w:sz="0" w:space="0" w:color="auto"/>
                                                  </w:divBdr>
                                                  <w:divsChild>
                                                    <w:div w:id="43471019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52816666">
                                                          <w:marLeft w:val="0"/>
                                                          <w:marRight w:val="0"/>
                                                          <w:marTop w:val="0"/>
                                                          <w:marBottom w:val="0"/>
                                                          <w:divBdr>
                                                            <w:top w:val="none" w:sz="0" w:space="0" w:color="auto"/>
                                                            <w:left w:val="none" w:sz="0" w:space="0" w:color="auto"/>
                                                            <w:bottom w:val="none" w:sz="0" w:space="0" w:color="auto"/>
                                                            <w:right w:val="none" w:sz="0" w:space="0" w:color="auto"/>
                                                          </w:divBdr>
                                                          <w:divsChild>
                                                            <w:div w:id="203437727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79437045">
                                                          <w:marLeft w:val="0"/>
                                                          <w:marRight w:val="0"/>
                                                          <w:marTop w:val="0"/>
                                                          <w:marBottom w:val="0"/>
                                                          <w:divBdr>
                                                            <w:top w:val="none" w:sz="0" w:space="0" w:color="auto"/>
                                                            <w:left w:val="none" w:sz="0" w:space="0" w:color="auto"/>
                                                            <w:bottom w:val="none" w:sz="0" w:space="0" w:color="auto"/>
                                                            <w:right w:val="none" w:sz="0" w:space="0" w:color="auto"/>
                                                          </w:divBdr>
                                                          <w:divsChild>
                                                            <w:div w:id="27140601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71105578">
                                                          <w:marLeft w:val="0"/>
                                                          <w:marRight w:val="0"/>
                                                          <w:marTop w:val="0"/>
                                                          <w:marBottom w:val="0"/>
                                                          <w:divBdr>
                                                            <w:top w:val="none" w:sz="0" w:space="0" w:color="auto"/>
                                                            <w:left w:val="none" w:sz="0" w:space="0" w:color="auto"/>
                                                            <w:bottom w:val="none" w:sz="0" w:space="0" w:color="auto"/>
                                                            <w:right w:val="none" w:sz="0" w:space="0" w:color="auto"/>
                                                          </w:divBdr>
                                                          <w:divsChild>
                                                            <w:div w:id="159443520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1108352894">
                                                  <w:marLeft w:val="0"/>
                                                  <w:marRight w:val="0"/>
                                                  <w:marTop w:val="0"/>
                                                  <w:marBottom w:val="0"/>
                                                  <w:divBdr>
                                                    <w:top w:val="none" w:sz="0" w:space="0" w:color="auto"/>
                                                    <w:left w:val="none" w:sz="0" w:space="0" w:color="auto"/>
                                                    <w:bottom w:val="none" w:sz="0" w:space="0" w:color="auto"/>
                                                    <w:right w:val="none" w:sz="0" w:space="0" w:color="auto"/>
                                                  </w:divBdr>
                                                  <w:divsChild>
                                                    <w:div w:id="96373013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10303913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480931208">
      <w:bodyDiv w:val="1"/>
      <w:marLeft w:val="0"/>
      <w:marRight w:val="679"/>
      <w:marTop w:val="0"/>
      <w:marBottom w:val="0"/>
      <w:divBdr>
        <w:top w:val="none" w:sz="0" w:space="0" w:color="auto"/>
        <w:left w:val="none" w:sz="0" w:space="0" w:color="auto"/>
        <w:bottom w:val="none" w:sz="0" w:space="0" w:color="auto"/>
        <w:right w:val="none" w:sz="0" w:space="0" w:color="auto"/>
      </w:divBdr>
      <w:divsChild>
        <w:div w:id="567304997">
          <w:marLeft w:val="0"/>
          <w:marRight w:val="0"/>
          <w:marTop w:val="0"/>
          <w:marBottom w:val="0"/>
          <w:divBdr>
            <w:top w:val="none" w:sz="0" w:space="0" w:color="auto"/>
            <w:left w:val="none" w:sz="0" w:space="0" w:color="auto"/>
            <w:bottom w:val="none" w:sz="0" w:space="0" w:color="auto"/>
            <w:right w:val="none" w:sz="0" w:space="0" w:color="auto"/>
          </w:divBdr>
          <w:divsChild>
            <w:div w:id="120655440">
              <w:marLeft w:val="0"/>
              <w:marRight w:val="0"/>
              <w:marTop w:val="0"/>
              <w:marBottom w:val="0"/>
              <w:divBdr>
                <w:top w:val="none" w:sz="0" w:space="0" w:color="auto"/>
                <w:left w:val="none" w:sz="0" w:space="0" w:color="auto"/>
                <w:bottom w:val="none" w:sz="0" w:space="0" w:color="auto"/>
                <w:right w:val="none" w:sz="0" w:space="0" w:color="auto"/>
              </w:divBdr>
              <w:divsChild>
                <w:div w:id="1647582767">
                  <w:marLeft w:val="0"/>
                  <w:marRight w:val="0"/>
                  <w:marTop w:val="0"/>
                  <w:marBottom w:val="0"/>
                  <w:divBdr>
                    <w:top w:val="none" w:sz="0" w:space="0" w:color="auto"/>
                    <w:left w:val="none" w:sz="0" w:space="0" w:color="auto"/>
                    <w:bottom w:val="none" w:sz="0" w:space="0" w:color="auto"/>
                    <w:right w:val="none" w:sz="0" w:space="0" w:color="auto"/>
                  </w:divBdr>
                  <w:divsChild>
                    <w:div w:id="93015141">
                      <w:marLeft w:val="-204"/>
                      <w:marRight w:val="-204"/>
                      <w:marTop w:val="0"/>
                      <w:marBottom w:val="0"/>
                      <w:divBdr>
                        <w:top w:val="none" w:sz="0" w:space="0" w:color="auto"/>
                        <w:left w:val="none" w:sz="0" w:space="0" w:color="auto"/>
                        <w:bottom w:val="none" w:sz="0" w:space="0" w:color="auto"/>
                        <w:right w:val="none" w:sz="0" w:space="0" w:color="auto"/>
                      </w:divBdr>
                      <w:divsChild>
                        <w:div w:id="127431348">
                          <w:marLeft w:val="0"/>
                          <w:marRight w:val="0"/>
                          <w:marTop w:val="0"/>
                          <w:marBottom w:val="0"/>
                          <w:divBdr>
                            <w:top w:val="none" w:sz="0" w:space="0" w:color="auto"/>
                            <w:left w:val="none" w:sz="0" w:space="0" w:color="auto"/>
                            <w:bottom w:val="none" w:sz="0" w:space="0" w:color="auto"/>
                            <w:right w:val="none" w:sz="0" w:space="0" w:color="auto"/>
                          </w:divBdr>
                          <w:divsChild>
                            <w:div w:id="2040742420">
                              <w:marLeft w:val="0"/>
                              <w:marRight w:val="0"/>
                              <w:marTop w:val="0"/>
                              <w:marBottom w:val="0"/>
                              <w:divBdr>
                                <w:top w:val="none" w:sz="0" w:space="0" w:color="auto"/>
                                <w:left w:val="none" w:sz="0" w:space="0" w:color="auto"/>
                                <w:bottom w:val="none" w:sz="0" w:space="0" w:color="auto"/>
                                <w:right w:val="none" w:sz="0" w:space="0" w:color="auto"/>
                              </w:divBdr>
                              <w:divsChild>
                                <w:div w:id="226427313">
                                  <w:marLeft w:val="0"/>
                                  <w:marRight w:val="0"/>
                                  <w:marTop w:val="0"/>
                                  <w:marBottom w:val="0"/>
                                  <w:divBdr>
                                    <w:top w:val="none" w:sz="0" w:space="0" w:color="auto"/>
                                    <w:left w:val="none" w:sz="0" w:space="0" w:color="auto"/>
                                    <w:bottom w:val="none" w:sz="0" w:space="0" w:color="auto"/>
                                    <w:right w:val="none" w:sz="0" w:space="0" w:color="auto"/>
                                  </w:divBdr>
                                  <w:divsChild>
                                    <w:div w:id="441263534">
                                      <w:marLeft w:val="0"/>
                                      <w:marRight w:val="0"/>
                                      <w:marTop w:val="0"/>
                                      <w:marBottom w:val="0"/>
                                      <w:divBdr>
                                        <w:top w:val="none" w:sz="0" w:space="0" w:color="auto"/>
                                        <w:left w:val="none" w:sz="0" w:space="0" w:color="auto"/>
                                        <w:bottom w:val="none" w:sz="0" w:space="0" w:color="auto"/>
                                        <w:right w:val="none" w:sz="0" w:space="0" w:color="auto"/>
                                      </w:divBdr>
                                      <w:divsChild>
                                        <w:div w:id="37435481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611281889">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156414926">
                                                  <w:marLeft w:val="0"/>
                                                  <w:marRight w:val="0"/>
                                                  <w:marTop w:val="0"/>
                                                  <w:marBottom w:val="0"/>
                                                  <w:divBdr>
                                                    <w:top w:val="none" w:sz="0" w:space="0" w:color="auto"/>
                                                    <w:left w:val="none" w:sz="0" w:space="0" w:color="auto"/>
                                                    <w:bottom w:val="none" w:sz="0" w:space="0" w:color="auto"/>
                                                    <w:right w:val="none" w:sz="0" w:space="0" w:color="auto"/>
                                                  </w:divBdr>
                                                  <w:divsChild>
                                                    <w:div w:id="147613899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142387616">
                                                  <w:marLeft w:val="0"/>
                                                  <w:marRight w:val="0"/>
                                                  <w:marTop w:val="0"/>
                                                  <w:marBottom w:val="0"/>
                                                  <w:divBdr>
                                                    <w:top w:val="none" w:sz="0" w:space="0" w:color="auto"/>
                                                    <w:left w:val="none" w:sz="0" w:space="0" w:color="auto"/>
                                                    <w:bottom w:val="none" w:sz="0" w:space="0" w:color="auto"/>
                                                    <w:right w:val="none" w:sz="0" w:space="0" w:color="auto"/>
                                                  </w:divBdr>
                                                  <w:divsChild>
                                                    <w:div w:id="1933077787">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9512489">
      <w:bodyDiv w:val="1"/>
      <w:marLeft w:val="0"/>
      <w:marRight w:val="750"/>
      <w:marTop w:val="0"/>
      <w:marBottom w:val="0"/>
      <w:divBdr>
        <w:top w:val="none" w:sz="0" w:space="0" w:color="auto"/>
        <w:left w:val="none" w:sz="0" w:space="0" w:color="auto"/>
        <w:bottom w:val="none" w:sz="0" w:space="0" w:color="auto"/>
        <w:right w:val="none" w:sz="0" w:space="0" w:color="auto"/>
      </w:divBdr>
      <w:divsChild>
        <w:div w:id="1590701020">
          <w:marLeft w:val="0"/>
          <w:marRight w:val="0"/>
          <w:marTop w:val="0"/>
          <w:marBottom w:val="0"/>
          <w:divBdr>
            <w:top w:val="none" w:sz="0" w:space="0" w:color="auto"/>
            <w:left w:val="none" w:sz="0" w:space="0" w:color="auto"/>
            <w:bottom w:val="none" w:sz="0" w:space="0" w:color="auto"/>
            <w:right w:val="none" w:sz="0" w:space="0" w:color="auto"/>
          </w:divBdr>
          <w:divsChild>
            <w:div w:id="1554385303">
              <w:marLeft w:val="0"/>
              <w:marRight w:val="0"/>
              <w:marTop w:val="0"/>
              <w:marBottom w:val="0"/>
              <w:divBdr>
                <w:top w:val="none" w:sz="0" w:space="0" w:color="auto"/>
                <w:left w:val="none" w:sz="0" w:space="0" w:color="auto"/>
                <w:bottom w:val="none" w:sz="0" w:space="0" w:color="auto"/>
                <w:right w:val="none" w:sz="0" w:space="0" w:color="auto"/>
              </w:divBdr>
              <w:divsChild>
                <w:div w:id="1342124068">
                  <w:marLeft w:val="0"/>
                  <w:marRight w:val="0"/>
                  <w:marTop w:val="0"/>
                  <w:marBottom w:val="0"/>
                  <w:divBdr>
                    <w:top w:val="none" w:sz="0" w:space="0" w:color="auto"/>
                    <w:left w:val="none" w:sz="0" w:space="0" w:color="auto"/>
                    <w:bottom w:val="none" w:sz="0" w:space="0" w:color="auto"/>
                    <w:right w:val="none" w:sz="0" w:space="0" w:color="auto"/>
                  </w:divBdr>
                  <w:divsChild>
                    <w:div w:id="224611262">
                      <w:marLeft w:val="-225"/>
                      <w:marRight w:val="-225"/>
                      <w:marTop w:val="0"/>
                      <w:marBottom w:val="0"/>
                      <w:divBdr>
                        <w:top w:val="none" w:sz="0" w:space="0" w:color="auto"/>
                        <w:left w:val="none" w:sz="0" w:space="0" w:color="auto"/>
                        <w:bottom w:val="none" w:sz="0" w:space="0" w:color="auto"/>
                        <w:right w:val="none" w:sz="0" w:space="0" w:color="auto"/>
                      </w:divBdr>
                      <w:divsChild>
                        <w:div w:id="879978230">
                          <w:marLeft w:val="0"/>
                          <w:marRight w:val="0"/>
                          <w:marTop w:val="0"/>
                          <w:marBottom w:val="0"/>
                          <w:divBdr>
                            <w:top w:val="none" w:sz="0" w:space="0" w:color="auto"/>
                            <w:left w:val="none" w:sz="0" w:space="0" w:color="auto"/>
                            <w:bottom w:val="none" w:sz="0" w:space="0" w:color="auto"/>
                            <w:right w:val="none" w:sz="0" w:space="0" w:color="auto"/>
                          </w:divBdr>
                          <w:divsChild>
                            <w:div w:id="994725187">
                              <w:marLeft w:val="0"/>
                              <w:marRight w:val="0"/>
                              <w:marTop w:val="0"/>
                              <w:marBottom w:val="0"/>
                              <w:divBdr>
                                <w:top w:val="none" w:sz="0" w:space="0" w:color="auto"/>
                                <w:left w:val="none" w:sz="0" w:space="0" w:color="auto"/>
                                <w:bottom w:val="none" w:sz="0" w:space="0" w:color="auto"/>
                                <w:right w:val="none" w:sz="0" w:space="0" w:color="auto"/>
                              </w:divBdr>
                              <w:divsChild>
                                <w:div w:id="1944260030">
                                  <w:marLeft w:val="0"/>
                                  <w:marRight w:val="0"/>
                                  <w:marTop w:val="0"/>
                                  <w:marBottom w:val="0"/>
                                  <w:divBdr>
                                    <w:top w:val="none" w:sz="0" w:space="0" w:color="auto"/>
                                    <w:left w:val="none" w:sz="0" w:space="0" w:color="auto"/>
                                    <w:bottom w:val="none" w:sz="0" w:space="0" w:color="auto"/>
                                    <w:right w:val="none" w:sz="0" w:space="0" w:color="auto"/>
                                  </w:divBdr>
                                  <w:divsChild>
                                    <w:div w:id="10105465">
                                      <w:marLeft w:val="0"/>
                                      <w:marRight w:val="0"/>
                                      <w:marTop w:val="0"/>
                                      <w:marBottom w:val="0"/>
                                      <w:divBdr>
                                        <w:top w:val="none" w:sz="0" w:space="0" w:color="auto"/>
                                        <w:left w:val="none" w:sz="0" w:space="0" w:color="auto"/>
                                        <w:bottom w:val="none" w:sz="0" w:space="0" w:color="auto"/>
                                        <w:right w:val="none" w:sz="0" w:space="0" w:color="auto"/>
                                      </w:divBdr>
                                      <w:divsChild>
                                        <w:div w:id="39080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00960203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387100714">
                                                  <w:marLeft w:val="0"/>
                                                  <w:marRight w:val="0"/>
                                                  <w:marTop w:val="0"/>
                                                  <w:marBottom w:val="0"/>
                                                  <w:divBdr>
                                                    <w:top w:val="none" w:sz="0" w:space="0" w:color="auto"/>
                                                    <w:left w:val="none" w:sz="0" w:space="0" w:color="auto"/>
                                                    <w:bottom w:val="none" w:sz="0" w:space="0" w:color="auto"/>
                                                    <w:right w:val="none" w:sz="0" w:space="0" w:color="auto"/>
                                                  </w:divBdr>
                                                  <w:divsChild>
                                                    <w:div w:id="127128030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98179072">
                                                  <w:marLeft w:val="0"/>
                                                  <w:marRight w:val="0"/>
                                                  <w:marTop w:val="0"/>
                                                  <w:marBottom w:val="0"/>
                                                  <w:divBdr>
                                                    <w:top w:val="none" w:sz="0" w:space="0" w:color="auto"/>
                                                    <w:left w:val="none" w:sz="0" w:space="0" w:color="auto"/>
                                                    <w:bottom w:val="none" w:sz="0" w:space="0" w:color="auto"/>
                                                    <w:right w:val="none" w:sz="0" w:space="0" w:color="auto"/>
                                                  </w:divBdr>
                                                  <w:divsChild>
                                                    <w:div w:id="116963660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92580506">
                                                  <w:marLeft w:val="0"/>
                                                  <w:marRight w:val="0"/>
                                                  <w:marTop w:val="0"/>
                                                  <w:marBottom w:val="0"/>
                                                  <w:divBdr>
                                                    <w:top w:val="none" w:sz="0" w:space="0" w:color="auto"/>
                                                    <w:left w:val="none" w:sz="0" w:space="0" w:color="auto"/>
                                                    <w:bottom w:val="none" w:sz="0" w:space="0" w:color="auto"/>
                                                    <w:right w:val="none" w:sz="0" w:space="0" w:color="auto"/>
                                                  </w:divBdr>
                                                  <w:divsChild>
                                                    <w:div w:id="12570411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1616464">
      <w:bodyDiv w:val="1"/>
      <w:marLeft w:val="0"/>
      <w:marRight w:val="679"/>
      <w:marTop w:val="0"/>
      <w:marBottom w:val="0"/>
      <w:divBdr>
        <w:top w:val="none" w:sz="0" w:space="0" w:color="auto"/>
        <w:left w:val="none" w:sz="0" w:space="0" w:color="auto"/>
        <w:bottom w:val="none" w:sz="0" w:space="0" w:color="auto"/>
        <w:right w:val="none" w:sz="0" w:space="0" w:color="auto"/>
      </w:divBdr>
      <w:divsChild>
        <w:div w:id="808549632">
          <w:marLeft w:val="0"/>
          <w:marRight w:val="0"/>
          <w:marTop w:val="0"/>
          <w:marBottom w:val="0"/>
          <w:divBdr>
            <w:top w:val="none" w:sz="0" w:space="0" w:color="auto"/>
            <w:left w:val="none" w:sz="0" w:space="0" w:color="auto"/>
            <w:bottom w:val="none" w:sz="0" w:space="0" w:color="auto"/>
            <w:right w:val="none" w:sz="0" w:space="0" w:color="auto"/>
          </w:divBdr>
          <w:divsChild>
            <w:div w:id="1267808094">
              <w:marLeft w:val="0"/>
              <w:marRight w:val="0"/>
              <w:marTop w:val="0"/>
              <w:marBottom w:val="0"/>
              <w:divBdr>
                <w:top w:val="none" w:sz="0" w:space="0" w:color="auto"/>
                <w:left w:val="none" w:sz="0" w:space="0" w:color="auto"/>
                <w:bottom w:val="none" w:sz="0" w:space="0" w:color="auto"/>
                <w:right w:val="none" w:sz="0" w:space="0" w:color="auto"/>
              </w:divBdr>
              <w:divsChild>
                <w:div w:id="442188223">
                  <w:marLeft w:val="0"/>
                  <w:marRight w:val="0"/>
                  <w:marTop w:val="0"/>
                  <w:marBottom w:val="0"/>
                  <w:divBdr>
                    <w:top w:val="none" w:sz="0" w:space="0" w:color="auto"/>
                    <w:left w:val="none" w:sz="0" w:space="0" w:color="auto"/>
                    <w:bottom w:val="none" w:sz="0" w:space="0" w:color="auto"/>
                    <w:right w:val="none" w:sz="0" w:space="0" w:color="auto"/>
                  </w:divBdr>
                  <w:divsChild>
                    <w:div w:id="806435728">
                      <w:marLeft w:val="-204"/>
                      <w:marRight w:val="-204"/>
                      <w:marTop w:val="0"/>
                      <w:marBottom w:val="0"/>
                      <w:divBdr>
                        <w:top w:val="none" w:sz="0" w:space="0" w:color="auto"/>
                        <w:left w:val="none" w:sz="0" w:space="0" w:color="auto"/>
                        <w:bottom w:val="none" w:sz="0" w:space="0" w:color="auto"/>
                        <w:right w:val="none" w:sz="0" w:space="0" w:color="auto"/>
                      </w:divBdr>
                      <w:divsChild>
                        <w:div w:id="2006594365">
                          <w:marLeft w:val="0"/>
                          <w:marRight w:val="0"/>
                          <w:marTop w:val="0"/>
                          <w:marBottom w:val="0"/>
                          <w:divBdr>
                            <w:top w:val="none" w:sz="0" w:space="0" w:color="auto"/>
                            <w:left w:val="none" w:sz="0" w:space="0" w:color="auto"/>
                            <w:bottom w:val="none" w:sz="0" w:space="0" w:color="auto"/>
                            <w:right w:val="none" w:sz="0" w:space="0" w:color="auto"/>
                          </w:divBdr>
                          <w:divsChild>
                            <w:div w:id="1833793687">
                              <w:marLeft w:val="0"/>
                              <w:marRight w:val="0"/>
                              <w:marTop w:val="0"/>
                              <w:marBottom w:val="0"/>
                              <w:divBdr>
                                <w:top w:val="none" w:sz="0" w:space="0" w:color="auto"/>
                                <w:left w:val="none" w:sz="0" w:space="0" w:color="auto"/>
                                <w:bottom w:val="none" w:sz="0" w:space="0" w:color="auto"/>
                                <w:right w:val="none" w:sz="0" w:space="0" w:color="auto"/>
                              </w:divBdr>
                              <w:divsChild>
                                <w:div w:id="331764815">
                                  <w:marLeft w:val="0"/>
                                  <w:marRight w:val="0"/>
                                  <w:marTop w:val="0"/>
                                  <w:marBottom w:val="0"/>
                                  <w:divBdr>
                                    <w:top w:val="none" w:sz="0" w:space="0" w:color="auto"/>
                                    <w:left w:val="none" w:sz="0" w:space="0" w:color="auto"/>
                                    <w:bottom w:val="none" w:sz="0" w:space="0" w:color="auto"/>
                                    <w:right w:val="none" w:sz="0" w:space="0" w:color="auto"/>
                                  </w:divBdr>
                                  <w:divsChild>
                                    <w:div w:id="187303293">
                                      <w:marLeft w:val="0"/>
                                      <w:marRight w:val="0"/>
                                      <w:marTop w:val="0"/>
                                      <w:marBottom w:val="0"/>
                                      <w:divBdr>
                                        <w:top w:val="none" w:sz="0" w:space="0" w:color="auto"/>
                                        <w:left w:val="none" w:sz="0" w:space="0" w:color="auto"/>
                                        <w:bottom w:val="none" w:sz="0" w:space="0" w:color="auto"/>
                                        <w:right w:val="none" w:sz="0" w:space="0" w:color="auto"/>
                                      </w:divBdr>
                                      <w:divsChild>
                                        <w:div w:id="181105451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892234580">
                                              <w:blockQuote w:val="1"/>
                                              <w:marLeft w:val="0"/>
                                              <w:marRight w:val="0"/>
                                              <w:marTop w:val="0"/>
                                              <w:marBottom w:val="272"/>
                                              <w:divBdr>
                                                <w:top w:val="none" w:sz="0" w:space="0" w:color="auto"/>
                                                <w:left w:val="single" w:sz="24" w:space="14" w:color="EEEEEE"/>
                                                <w:bottom w:val="none" w:sz="0" w:space="0" w:color="auto"/>
                                                <w:right w:val="none" w:sz="0" w:space="0" w:color="auto"/>
                                              </w:divBdr>
                                            </w:div>
                                            <w:div w:id="482431141">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 w:id="705445514">
      <w:bodyDiv w:val="1"/>
      <w:marLeft w:val="0"/>
      <w:marRight w:val="679"/>
      <w:marTop w:val="0"/>
      <w:marBottom w:val="0"/>
      <w:divBdr>
        <w:top w:val="none" w:sz="0" w:space="0" w:color="auto"/>
        <w:left w:val="none" w:sz="0" w:space="0" w:color="auto"/>
        <w:bottom w:val="none" w:sz="0" w:space="0" w:color="auto"/>
        <w:right w:val="none" w:sz="0" w:space="0" w:color="auto"/>
      </w:divBdr>
      <w:divsChild>
        <w:div w:id="1011183411">
          <w:marLeft w:val="0"/>
          <w:marRight w:val="0"/>
          <w:marTop w:val="0"/>
          <w:marBottom w:val="0"/>
          <w:divBdr>
            <w:top w:val="none" w:sz="0" w:space="0" w:color="auto"/>
            <w:left w:val="none" w:sz="0" w:space="0" w:color="auto"/>
            <w:bottom w:val="none" w:sz="0" w:space="0" w:color="auto"/>
            <w:right w:val="none" w:sz="0" w:space="0" w:color="auto"/>
          </w:divBdr>
          <w:divsChild>
            <w:div w:id="1235505636">
              <w:marLeft w:val="0"/>
              <w:marRight w:val="0"/>
              <w:marTop w:val="0"/>
              <w:marBottom w:val="0"/>
              <w:divBdr>
                <w:top w:val="none" w:sz="0" w:space="0" w:color="auto"/>
                <w:left w:val="none" w:sz="0" w:space="0" w:color="auto"/>
                <w:bottom w:val="none" w:sz="0" w:space="0" w:color="auto"/>
                <w:right w:val="none" w:sz="0" w:space="0" w:color="auto"/>
              </w:divBdr>
              <w:divsChild>
                <w:div w:id="887111523">
                  <w:marLeft w:val="0"/>
                  <w:marRight w:val="0"/>
                  <w:marTop w:val="0"/>
                  <w:marBottom w:val="0"/>
                  <w:divBdr>
                    <w:top w:val="none" w:sz="0" w:space="0" w:color="auto"/>
                    <w:left w:val="none" w:sz="0" w:space="0" w:color="auto"/>
                    <w:bottom w:val="none" w:sz="0" w:space="0" w:color="auto"/>
                    <w:right w:val="none" w:sz="0" w:space="0" w:color="auto"/>
                  </w:divBdr>
                  <w:divsChild>
                    <w:div w:id="272513766">
                      <w:marLeft w:val="-204"/>
                      <w:marRight w:val="-204"/>
                      <w:marTop w:val="0"/>
                      <w:marBottom w:val="0"/>
                      <w:divBdr>
                        <w:top w:val="none" w:sz="0" w:space="0" w:color="auto"/>
                        <w:left w:val="none" w:sz="0" w:space="0" w:color="auto"/>
                        <w:bottom w:val="none" w:sz="0" w:space="0" w:color="auto"/>
                        <w:right w:val="none" w:sz="0" w:space="0" w:color="auto"/>
                      </w:divBdr>
                      <w:divsChild>
                        <w:div w:id="791290816">
                          <w:marLeft w:val="0"/>
                          <w:marRight w:val="0"/>
                          <w:marTop w:val="0"/>
                          <w:marBottom w:val="0"/>
                          <w:divBdr>
                            <w:top w:val="none" w:sz="0" w:space="0" w:color="auto"/>
                            <w:left w:val="none" w:sz="0" w:space="0" w:color="auto"/>
                            <w:bottom w:val="none" w:sz="0" w:space="0" w:color="auto"/>
                            <w:right w:val="none" w:sz="0" w:space="0" w:color="auto"/>
                          </w:divBdr>
                          <w:divsChild>
                            <w:div w:id="1144005482">
                              <w:marLeft w:val="0"/>
                              <w:marRight w:val="0"/>
                              <w:marTop w:val="0"/>
                              <w:marBottom w:val="0"/>
                              <w:divBdr>
                                <w:top w:val="none" w:sz="0" w:space="0" w:color="auto"/>
                                <w:left w:val="none" w:sz="0" w:space="0" w:color="auto"/>
                                <w:bottom w:val="none" w:sz="0" w:space="0" w:color="auto"/>
                                <w:right w:val="none" w:sz="0" w:space="0" w:color="auto"/>
                              </w:divBdr>
                              <w:divsChild>
                                <w:div w:id="6761040">
                                  <w:marLeft w:val="0"/>
                                  <w:marRight w:val="0"/>
                                  <w:marTop w:val="0"/>
                                  <w:marBottom w:val="0"/>
                                  <w:divBdr>
                                    <w:top w:val="none" w:sz="0" w:space="0" w:color="auto"/>
                                    <w:left w:val="none" w:sz="0" w:space="0" w:color="auto"/>
                                    <w:bottom w:val="none" w:sz="0" w:space="0" w:color="auto"/>
                                    <w:right w:val="none" w:sz="0" w:space="0" w:color="auto"/>
                                  </w:divBdr>
                                  <w:divsChild>
                                    <w:div w:id="2109690629">
                                      <w:marLeft w:val="0"/>
                                      <w:marRight w:val="0"/>
                                      <w:marTop w:val="0"/>
                                      <w:marBottom w:val="0"/>
                                      <w:divBdr>
                                        <w:top w:val="none" w:sz="0" w:space="0" w:color="auto"/>
                                        <w:left w:val="none" w:sz="0" w:space="0" w:color="auto"/>
                                        <w:bottom w:val="none" w:sz="0" w:space="0" w:color="auto"/>
                                        <w:right w:val="none" w:sz="0" w:space="0" w:color="auto"/>
                                      </w:divBdr>
                                      <w:divsChild>
                                        <w:div w:id="39794500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229683154">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275094635">
                                                  <w:marLeft w:val="0"/>
                                                  <w:marRight w:val="0"/>
                                                  <w:marTop w:val="0"/>
                                                  <w:marBottom w:val="0"/>
                                                  <w:divBdr>
                                                    <w:top w:val="none" w:sz="0" w:space="0" w:color="auto"/>
                                                    <w:left w:val="none" w:sz="0" w:space="0" w:color="auto"/>
                                                    <w:bottom w:val="none" w:sz="0" w:space="0" w:color="auto"/>
                                                    <w:right w:val="none" w:sz="0" w:space="0" w:color="auto"/>
                                                  </w:divBdr>
                                                  <w:divsChild>
                                                    <w:div w:id="63938141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381517869">
                                                  <w:marLeft w:val="0"/>
                                                  <w:marRight w:val="0"/>
                                                  <w:marTop w:val="0"/>
                                                  <w:marBottom w:val="0"/>
                                                  <w:divBdr>
                                                    <w:top w:val="none" w:sz="0" w:space="0" w:color="auto"/>
                                                    <w:left w:val="none" w:sz="0" w:space="0" w:color="auto"/>
                                                    <w:bottom w:val="none" w:sz="0" w:space="0" w:color="auto"/>
                                                    <w:right w:val="none" w:sz="0" w:space="0" w:color="auto"/>
                                                  </w:divBdr>
                                                  <w:divsChild>
                                                    <w:div w:id="103037718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914462610">
                                                  <w:marLeft w:val="0"/>
                                                  <w:marRight w:val="0"/>
                                                  <w:marTop w:val="0"/>
                                                  <w:marBottom w:val="0"/>
                                                  <w:divBdr>
                                                    <w:top w:val="none" w:sz="0" w:space="0" w:color="auto"/>
                                                    <w:left w:val="none" w:sz="0" w:space="0" w:color="auto"/>
                                                    <w:bottom w:val="none" w:sz="0" w:space="0" w:color="auto"/>
                                                    <w:right w:val="none" w:sz="0" w:space="0" w:color="auto"/>
                                                  </w:divBdr>
                                                  <w:divsChild>
                                                    <w:div w:id="94412025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4498259">
      <w:bodyDiv w:val="1"/>
      <w:marLeft w:val="0"/>
      <w:marRight w:val="750"/>
      <w:marTop w:val="0"/>
      <w:marBottom w:val="0"/>
      <w:divBdr>
        <w:top w:val="none" w:sz="0" w:space="0" w:color="auto"/>
        <w:left w:val="none" w:sz="0" w:space="0" w:color="auto"/>
        <w:bottom w:val="none" w:sz="0" w:space="0" w:color="auto"/>
        <w:right w:val="none" w:sz="0" w:space="0" w:color="auto"/>
      </w:divBdr>
      <w:divsChild>
        <w:div w:id="820777312">
          <w:marLeft w:val="0"/>
          <w:marRight w:val="0"/>
          <w:marTop w:val="0"/>
          <w:marBottom w:val="0"/>
          <w:divBdr>
            <w:top w:val="none" w:sz="0" w:space="0" w:color="auto"/>
            <w:left w:val="none" w:sz="0" w:space="0" w:color="auto"/>
            <w:bottom w:val="none" w:sz="0" w:space="0" w:color="auto"/>
            <w:right w:val="none" w:sz="0" w:space="0" w:color="auto"/>
          </w:divBdr>
          <w:divsChild>
            <w:div w:id="712075216">
              <w:marLeft w:val="0"/>
              <w:marRight w:val="0"/>
              <w:marTop w:val="0"/>
              <w:marBottom w:val="0"/>
              <w:divBdr>
                <w:top w:val="none" w:sz="0" w:space="0" w:color="auto"/>
                <w:left w:val="none" w:sz="0" w:space="0" w:color="auto"/>
                <w:bottom w:val="none" w:sz="0" w:space="0" w:color="auto"/>
                <w:right w:val="none" w:sz="0" w:space="0" w:color="auto"/>
              </w:divBdr>
              <w:divsChild>
                <w:div w:id="1405564509">
                  <w:marLeft w:val="0"/>
                  <w:marRight w:val="0"/>
                  <w:marTop w:val="0"/>
                  <w:marBottom w:val="0"/>
                  <w:divBdr>
                    <w:top w:val="none" w:sz="0" w:space="0" w:color="auto"/>
                    <w:left w:val="none" w:sz="0" w:space="0" w:color="auto"/>
                    <w:bottom w:val="none" w:sz="0" w:space="0" w:color="auto"/>
                    <w:right w:val="none" w:sz="0" w:space="0" w:color="auto"/>
                  </w:divBdr>
                  <w:divsChild>
                    <w:div w:id="2022857797">
                      <w:marLeft w:val="-225"/>
                      <w:marRight w:val="-225"/>
                      <w:marTop w:val="0"/>
                      <w:marBottom w:val="0"/>
                      <w:divBdr>
                        <w:top w:val="none" w:sz="0" w:space="0" w:color="auto"/>
                        <w:left w:val="none" w:sz="0" w:space="0" w:color="auto"/>
                        <w:bottom w:val="none" w:sz="0" w:space="0" w:color="auto"/>
                        <w:right w:val="none" w:sz="0" w:space="0" w:color="auto"/>
                      </w:divBdr>
                      <w:divsChild>
                        <w:div w:id="1766488369">
                          <w:marLeft w:val="0"/>
                          <w:marRight w:val="0"/>
                          <w:marTop w:val="0"/>
                          <w:marBottom w:val="0"/>
                          <w:divBdr>
                            <w:top w:val="none" w:sz="0" w:space="0" w:color="auto"/>
                            <w:left w:val="none" w:sz="0" w:space="0" w:color="auto"/>
                            <w:bottom w:val="none" w:sz="0" w:space="0" w:color="auto"/>
                            <w:right w:val="none" w:sz="0" w:space="0" w:color="auto"/>
                          </w:divBdr>
                          <w:divsChild>
                            <w:div w:id="355156993">
                              <w:marLeft w:val="0"/>
                              <w:marRight w:val="0"/>
                              <w:marTop w:val="0"/>
                              <w:marBottom w:val="0"/>
                              <w:divBdr>
                                <w:top w:val="none" w:sz="0" w:space="0" w:color="auto"/>
                                <w:left w:val="none" w:sz="0" w:space="0" w:color="auto"/>
                                <w:bottom w:val="none" w:sz="0" w:space="0" w:color="auto"/>
                                <w:right w:val="none" w:sz="0" w:space="0" w:color="auto"/>
                              </w:divBdr>
                              <w:divsChild>
                                <w:div w:id="1523131919">
                                  <w:marLeft w:val="0"/>
                                  <w:marRight w:val="0"/>
                                  <w:marTop w:val="0"/>
                                  <w:marBottom w:val="0"/>
                                  <w:divBdr>
                                    <w:top w:val="none" w:sz="0" w:space="0" w:color="auto"/>
                                    <w:left w:val="none" w:sz="0" w:space="0" w:color="auto"/>
                                    <w:bottom w:val="none" w:sz="0" w:space="0" w:color="auto"/>
                                    <w:right w:val="none" w:sz="0" w:space="0" w:color="auto"/>
                                  </w:divBdr>
                                  <w:divsChild>
                                    <w:div w:id="1123618799">
                                      <w:marLeft w:val="0"/>
                                      <w:marRight w:val="0"/>
                                      <w:marTop w:val="0"/>
                                      <w:marBottom w:val="0"/>
                                      <w:divBdr>
                                        <w:top w:val="none" w:sz="0" w:space="0" w:color="auto"/>
                                        <w:left w:val="none" w:sz="0" w:space="0" w:color="auto"/>
                                        <w:bottom w:val="none" w:sz="0" w:space="0" w:color="auto"/>
                                        <w:right w:val="none" w:sz="0" w:space="0" w:color="auto"/>
                                      </w:divBdr>
                                      <w:divsChild>
                                        <w:div w:id="151672961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8900646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215972047">
                                                  <w:marLeft w:val="0"/>
                                                  <w:marRight w:val="0"/>
                                                  <w:marTop w:val="0"/>
                                                  <w:marBottom w:val="0"/>
                                                  <w:divBdr>
                                                    <w:top w:val="none" w:sz="0" w:space="0" w:color="auto"/>
                                                    <w:left w:val="none" w:sz="0" w:space="0" w:color="auto"/>
                                                    <w:bottom w:val="none" w:sz="0" w:space="0" w:color="auto"/>
                                                    <w:right w:val="none" w:sz="0" w:space="0" w:color="auto"/>
                                                  </w:divBdr>
                                                  <w:divsChild>
                                                    <w:div w:id="92819738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78862545">
                                                  <w:marLeft w:val="0"/>
                                                  <w:marRight w:val="0"/>
                                                  <w:marTop w:val="0"/>
                                                  <w:marBottom w:val="0"/>
                                                  <w:divBdr>
                                                    <w:top w:val="none" w:sz="0" w:space="0" w:color="auto"/>
                                                    <w:left w:val="none" w:sz="0" w:space="0" w:color="auto"/>
                                                    <w:bottom w:val="none" w:sz="0" w:space="0" w:color="auto"/>
                                                    <w:right w:val="none" w:sz="0" w:space="0" w:color="auto"/>
                                                  </w:divBdr>
                                                  <w:divsChild>
                                                    <w:div w:id="80689531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041057641">
                                                          <w:marLeft w:val="0"/>
                                                          <w:marRight w:val="0"/>
                                                          <w:marTop w:val="0"/>
                                                          <w:marBottom w:val="0"/>
                                                          <w:divBdr>
                                                            <w:top w:val="none" w:sz="0" w:space="0" w:color="auto"/>
                                                            <w:left w:val="none" w:sz="0" w:space="0" w:color="auto"/>
                                                            <w:bottom w:val="none" w:sz="0" w:space="0" w:color="auto"/>
                                                            <w:right w:val="none" w:sz="0" w:space="0" w:color="auto"/>
                                                          </w:divBdr>
                                                          <w:divsChild>
                                                            <w:div w:id="56198519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1384248">
                                                          <w:marLeft w:val="0"/>
                                                          <w:marRight w:val="0"/>
                                                          <w:marTop w:val="0"/>
                                                          <w:marBottom w:val="0"/>
                                                          <w:divBdr>
                                                            <w:top w:val="none" w:sz="0" w:space="0" w:color="auto"/>
                                                            <w:left w:val="none" w:sz="0" w:space="0" w:color="auto"/>
                                                            <w:bottom w:val="none" w:sz="0" w:space="0" w:color="auto"/>
                                                            <w:right w:val="none" w:sz="0" w:space="0" w:color="auto"/>
                                                          </w:divBdr>
                                                          <w:divsChild>
                                                            <w:div w:id="5483453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 w:id="2067948303">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99869776">
                                                  <w:marLeft w:val="0"/>
                                                  <w:marRight w:val="0"/>
                                                  <w:marTop w:val="0"/>
                                                  <w:marBottom w:val="0"/>
                                                  <w:divBdr>
                                                    <w:top w:val="none" w:sz="0" w:space="0" w:color="auto"/>
                                                    <w:left w:val="none" w:sz="0" w:space="0" w:color="auto"/>
                                                    <w:bottom w:val="none" w:sz="0" w:space="0" w:color="auto"/>
                                                    <w:right w:val="none" w:sz="0" w:space="0" w:color="auto"/>
                                                  </w:divBdr>
                                                  <w:divsChild>
                                                    <w:div w:id="101955193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05874290">
                                                  <w:marLeft w:val="0"/>
                                                  <w:marRight w:val="0"/>
                                                  <w:marTop w:val="0"/>
                                                  <w:marBottom w:val="0"/>
                                                  <w:divBdr>
                                                    <w:top w:val="none" w:sz="0" w:space="0" w:color="auto"/>
                                                    <w:left w:val="none" w:sz="0" w:space="0" w:color="auto"/>
                                                    <w:bottom w:val="none" w:sz="0" w:space="0" w:color="auto"/>
                                                    <w:right w:val="none" w:sz="0" w:space="0" w:color="auto"/>
                                                  </w:divBdr>
                                                  <w:divsChild>
                                                    <w:div w:id="53327429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15954003">
                                                  <w:marLeft w:val="0"/>
                                                  <w:marRight w:val="0"/>
                                                  <w:marTop w:val="0"/>
                                                  <w:marBottom w:val="0"/>
                                                  <w:divBdr>
                                                    <w:top w:val="none" w:sz="0" w:space="0" w:color="auto"/>
                                                    <w:left w:val="none" w:sz="0" w:space="0" w:color="auto"/>
                                                    <w:bottom w:val="none" w:sz="0" w:space="0" w:color="auto"/>
                                                    <w:right w:val="none" w:sz="0" w:space="0" w:color="auto"/>
                                                  </w:divBdr>
                                                  <w:divsChild>
                                                    <w:div w:id="84902694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746563811">
                                                          <w:marLeft w:val="0"/>
                                                          <w:marRight w:val="0"/>
                                                          <w:marTop w:val="0"/>
                                                          <w:marBottom w:val="0"/>
                                                          <w:divBdr>
                                                            <w:top w:val="none" w:sz="0" w:space="0" w:color="auto"/>
                                                            <w:left w:val="none" w:sz="0" w:space="0" w:color="auto"/>
                                                            <w:bottom w:val="none" w:sz="0" w:space="0" w:color="auto"/>
                                                            <w:right w:val="none" w:sz="0" w:space="0" w:color="auto"/>
                                                          </w:divBdr>
                                                          <w:divsChild>
                                                            <w:div w:id="17076747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63396316">
                                                          <w:marLeft w:val="0"/>
                                                          <w:marRight w:val="0"/>
                                                          <w:marTop w:val="0"/>
                                                          <w:marBottom w:val="0"/>
                                                          <w:divBdr>
                                                            <w:top w:val="none" w:sz="0" w:space="0" w:color="auto"/>
                                                            <w:left w:val="none" w:sz="0" w:space="0" w:color="auto"/>
                                                            <w:bottom w:val="none" w:sz="0" w:space="0" w:color="auto"/>
                                                            <w:right w:val="none" w:sz="0" w:space="0" w:color="auto"/>
                                                          </w:divBdr>
                                                          <w:divsChild>
                                                            <w:div w:id="38957766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4785000">
      <w:bodyDiv w:val="1"/>
      <w:marLeft w:val="0"/>
      <w:marRight w:val="679"/>
      <w:marTop w:val="0"/>
      <w:marBottom w:val="0"/>
      <w:divBdr>
        <w:top w:val="none" w:sz="0" w:space="0" w:color="auto"/>
        <w:left w:val="none" w:sz="0" w:space="0" w:color="auto"/>
        <w:bottom w:val="none" w:sz="0" w:space="0" w:color="auto"/>
        <w:right w:val="none" w:sz="0" w:space="0" w:color="auto"/>
      </w:divBdr>
      <w:divsChild>
        <w:div w:id="497767247">
          <w:marLeft w:val="0"/>
          <w:marRight w:val="0"/>
          <w:marTop w:val="0"/>
          <w:marBottom w:val="0"/>
          <w:divBdr>
            <w:top w:val="none" w:sz="0" w:space="0" w:color="auto"/>
            <w:left w:val="none" w:sz="0" w:space="0" w:color="auto"/>
            <w:bottom w:val="none" w:sz="0" w:space="0" w:color="auto"/>
            <w:right w:val="none" w:sz="0" w:space="0" w:color="auto"/>
          </w:divBdr>
          <w:divsChild>
            <w:div w:id="532108748">
              <w:marLeft w:val="0"/>
              <w:marRight w:val="0"/>
              <w:marTop w:val="0"/>
              <w:marBottom w:val="0"/>
              <w:divBdr>
                <w:top w:val="none" w:sz="0" w:space="0" w:color="auto"/>
                <w:left w:val="none" w:sz="0" w:space="0" w:color="auto"/>
                <w:bottom w:val="none" w:sz="0" w:space="0" w:color="auto"/>
                <w:right w:val="none" w:sz="0" w:space="0" w:color="auto"/>
              </w:divBdr>
              <w:divsChild>
                <w:div w:id="1672290290">
                  <w:marLeft w:val="0"/>
                  <w:marRight w:val="0"/>
                  <w:marTop w:val="0"/>
                  <w:marBottom w:val="0"/>
                  <w:divBdr>
                    <w:top w:val="none" w:sz="0" w:space="0" w:color="auto"/>
                    <w:left w:val="none" w:sz="0" w:space="0" w:color="auto"/>
                    <w:bottom w:val="none" w:sz="0" w:space="0" w:color="auto"/>
                    <w:right w:val="none" w:sz="0" w:space="0" w:color="auto"/>
                  </w:divBdr>
                  <w:divsChild>
                    <w:div w:id="1525631034">
                      <w:marLeft w:val="-204"/>
                      <w:marRight w:val="-204"/>
                      <w:marTop w:val="0"/>
                      <w:marBottom w:val="0"/>
                      <w:divBdr>
                        <w:top w:val="none" w:sz="0" w:space="0" w:color="auto"/>
                        <w:left w:val="none" w:sz="0" w:space="0" w:color="auto"/>
                        <w:bottom w:val="none" w:sz="0" w:space="0" w:color="auto"/>
                        <w:right w:val="none" w:sz="0" w:space="0" w:color="auto"/>
                      </w:divBdr>
                      <w:divsChild>
                        <w:div w:id="1173488913">
                          <w:marLeft w:val="0"/>
                          <w:marRight w:val="0"/>
                          <w:marTop w:val="0"/>
                          <w:marBottom w:val="0"/>
                          <w:divBdr>
                            <w:top w:val="none" w:sz="0" w:space="0" w:color="auto"/>
                            <w:left w:val="none" w:sz="0" w:space="0" w:color="auto"/>
                            <w:bottom w:val="none" w:sz="0" w:space="0" w:color="auto"/>
                            <w:right w:val="none" w:sz="0" w:space="0" w:color="auto"/>
                          </w:divBdr>
                          <w:divsChild>
                            <w:div w:id="1631398299">
                              <w:marLeft w:val="0"/>
                              <w:marRight w:val="0"/>
                              <w:marTop w:val="0"/>
                              <w:marBottom w:val="0"/>
                              <w:divBdr>
                                <w:top w:val="none" w:sz="0" w:space="0" w:color="auto"/>
                                <w:left w:val="none" w:sz="0" w:space="0" w:color="auto"/>
                                <w:bottom w:val="none" w:sz="0" w:space="0" w:color="auto"/>
                                <w:right w:val="none" w:sz="0" w:space="0" w:color="auto"/>
                              </w:divBdr>
                              <w:divsChild>
                                <w:div w:id="348872283">
                                  <w:marLeft w:val="0"/>
                                  <w:marRight w:val="0"/>
                                  <w:marTop w:val="0"/>
                                  <w:marBottom w:val="0"/>
                                  <w:divBdr>
                                    <w:top w:val="none" w:sz="0" w:space="0" w:color="auto"/>
                                    <w:left w:val="none" w:sz="0" w:space="0" w:color="auto"/>
                                    <w:bottom w:val="none" w:sz="0" w:space="0" w:color="auto"/>
                                    <w:right w:val="none" w:sz="0" w:space="0" w:color="auto"/>
                                  </w:divBdr>
                                  <w:divsChild>
                                    <w:div w:id="1489321048">
                                      <w:marLeft w:val="0"/>
                                      <w:marRight w:val="0"/>
                                      <w:marTop w:val="0"/>
                                      <w:marBottom w:val="0"/>
                                      <w:divBdr>
                                        <w:top w:val="none" w:sz="0" w:space="0" w:color="auto"/>
                                        <w:left w:val="none" w:sz="0" w:space="0" w:color="auto"/>
                                        <w:bottom w:val="none" w:sz="0" w:space="0" w:color="auto"/>
                                        <w:right w:val="none" w:sz="0" w:space="0" w:color="auto"/>
                                      </w:divBdr>
                                      <w:divsChild>
                                        <w:div w:id="1637182527">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387000749">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776827965">
                                                  <w:marLeft w:val="0"/>
                                                  <w:marRight w:val="0"/>
                                                  <w:marTop w:val="0"/>
                                                  <w:marBottom w:val="0"/>
                                                  <w:divBdr>
                                                    <w:top w:val="none" w:sz="0" w:space="0" w:color="auto"/>
                                                    <w:left w:val="none" w:sz="0" w:space="0" w:color="auto"/>
                                                    <w:bottom w:val="none" w:sz="0" w:space="0" w:color="auto"/>
                                                    <w:right w:val="none" w:sz="0" w:space="0" w:color="auto"/>
                                                  </w:divBdr>
                                                  <w:divsChild>
                                                    <w:div w:id="2073918847">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501849815">
                                                  <w:marLeft w:val="0"/>
                                                  <w:marRight w:val="0"/>
                                                  <w:marTop w:val="0"/>
                                                  <w:marBottom w:val="0"/>
                                                  <w:divBdr>
                                                    <w:top w:val="none" w:sz="0" w:space="0" w:color="auto"/>
                                                    <w:left w:val="none" w:sz="0" w:space="0" w:color="auto"/>
                                                    <w:bottom w:val="none" w:sz="0" w:space="0" w:color="auto"/>
                                                    <w:right w:val="none" w:sz="0" w:space="0" w:color="auto"/>
                                                  </w:divBdr>
                                                  <w:divsChild>
                                                    <w:div w:id="205804027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1317911">
      <w:bodyDiv w:val="1"/>
      <w:marLeft w:val="0"/>
      <w:marRight w:val="750"/>
      <w:marTop w:val="0"/>
      <w:marBottom w:val="0"/>
      <w:divBdr>
        <w:top w:val="none" w:sz="0" w:space="0" w:color="auto"/>
        <w:left w:val="none" w:sz="0" w:space="0" w:color="auto"/>
        <w:bottom w:val="none" w:sz="0" w:space="0" w:color="auto"/>
        <w:right w:val="none" w:sz="0" w:space="0" w:color="auto"/>
      </w:divBdr>
      <w:divsChild>
        <w:div w:id="574121889">
          <w:marLeft w:val="0"/>
          <w:marRight w:val="0"/>
          <w:marTop w:val="0"/>
          <w:marBottom w:val="0"/>
          <w:divBdr>
            <w:top w:val="none" w:sz="0" w:space="0" w:color="auto"/>
            <w:left w:val="none" w:sz="0" w:space="0" w:color="auto"/>
            <w:bottom w:val="none" w:sz="0" w:space="0" w:color="auto"/>
            <w:right w:val="none" w:sz="0" w:space="0" w:color="auto"/>
          </w:divBdr>
          <w:divsChild>
            <w:div w:id="1904677610">
              <w:marLeft w:val="0"/>
              <w:marRight w:val="0"/>
              <w:marTop w:val="0"/>
              <w:marBottom w:val="0"/>
              <w:divBdr>
                <w:top w:val="none" w:sz="0" w:space="0" w:color="auto"/>
                <w:left w:val="none" w:sz="0" w:space="0" w:color="auto"/>
                <w:bottom w:val="none" w:sz="0" w:space="0" w:color="auto"/>
                <w:right w:val="none" w:sz="0" w:space="0" w:color="auto"/>
              </w:divBdr>
              <w:divsChild>
                <w:div w:id="197008312">
                  <w:marLeft w:val="0"/>
                  <w:marRight w:val="0"/>
                  <w:marTop w:val="0"/>
                  <w:marBottom w:val="0"/>
                  <w:divBdr>
                    <w:top w:val="none" w:sz="0" w:space="0" w:color="auto"/>
                    <w:left w:val="none" w:sz="0" w:space="0" w:color="auto"/>
                    <w:bottom w:val="none" w:sz="0" w:space="0" w:color="auto"/>
                    <w:right w:val="none" w:sz="0" w:space="0" w:color="auto"/>
                  </w:divBdr>
                  <w:divsChild>
                    <w:div w:id="1745756406">
                      <w:marLeft w:val="-225"/>
                      <w:marRight w:val="-225"/>
                      <w:marTop w:val="0"/>
                      <w:marBottom w:val="0"/>
                      <w:divBdr>
                        <w:top w:val="none" w:sz="0" w:space="0" w:color="auto"/>
                        <w:left w:val="none" w:sz="0" w:space="0" w:color="auto"/>
                        <w:bottom w:val="none" w:sz="0" w:space="0" w:color="auto"/>
                        <w:right w:val="none" w:sz="0" w:space="0" w:color="auto"/>
                      </w:divBdr>
                      <w:divsChild>
                        <w:div w:id="1223172274">
                          <w:marLeft w:val="0"/>
                          <w:marRight w:val="0"/>
                          <w:marTop w:val="0"/>
                          <w:marBottom w:val="0"/>
                          <w:divBdr>
                            <w:top w:val="none" w:sz="0" w:space="0" w:color="auto"/>
                            <w:left w:val="none" w:sz="0" w:space="0" w:color="auto"/>
                            <w:bottom w:val="none" w:sz="0" w:space="0" w:color="auto"/>
                            <w:right w:val="none" w:sz="0" w:space="0" w:color="auto"/>
                          </w:divBdr>
                          <w:divsChild>
                            <w:div w:id="1780449081">
                              <w:marLeft w:val="0"/>
                              <w:marRight w:val="0"/>
                              <w:marTop w:val="0"/>
                              <w:marBottom w:val="0"/>
                              <w:divBdr>
                                <w:top w:val="none" w:sz="0" w:space="0" w:color="auto"/>
                                <w:left w:val="none" w:sz="0" w:space="0" w:color="auto"/>
                                <w:bottom w:val="none" w:sz="0" w:space="0" w:color="auto"/>
                                <w:right w:val="none" w:sz="0" w:space="0" w:color="auto"/>
                              </w:divBdr>
                              <w:divsChild>
                                <w:div w:id="1253709024">
                                  <w:marLeft w:val="0"/>
                                  <w:marRight w:val="0"/>
                                  <w:marTop w:val="0"/>
                                  <w:marBottom w:val="0"/>
                                  <w:divBdr>
                                    <w:top w:val="none" w:sz="0" w:space="0" w:color="auto"/>
                                    <w:left w:val="none" w:sz="0" w:space="0" w:color="auto"/>
                                    <w:bottom w:val="none" w:sz="0" w:space="0" w:color="auto"/>
                                    <w:right w:val="none" w:sz="0" w:space="0" w:color="auto"/>
                                  </w:divBdr>
                                  <w:divsChild>
                                    <w:div w:id="771126245">
                                      <w:marLeft w:val="0"/>
                                      <w:marRight w:val="0"/>
                                      <w:marTop w:val="0"/>
                                      <w:marBottom w:val="0"/>
                                      <w:divBdr>
                                        <w:top w:val="none" w:sz="0" w:space="0" w:color="auto"/>
                                        <w:left w:val="none" w:sz="0" w:space="0" w:color="auto"/>
                                        <w:bottom w:val="none" w:sz="0" w:space="0" w:color="auto"/>
                                        <w:right w:val="none" w:sz="0" w:space="0" w:color="auto"/>
                                      </w:divBdr>
                                      <w:divsChild>
                                        <w:div w:id="121562760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809936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092002396">
                                                  <w:marLeft w:val="0"/>
                                                  <w:marRight w:val="0"/>
                                                  <w:marTop w:val="0"/>
                                                  <w:marBottom w:val="0"/>
                                                  <w:divBdr>
                                                    <w:top w:val="none" w:sz="0" w:space="0" w:color="auto"/>
                                                    <w:left w:val="none" w:sz="0" w:space="0" w:color="auto"/>
                                                    <w:bottom w:val="none" w:sz="0" w:space="0" w:color="auto"/>
                                                    <w:right w:val="none" w:sz="0" w:space="0" w:color="auto"/>
                                                  </w:divBdr>
                                                  <w:divsChild>
                                                    <w:div w:id="165514328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20393680">
                                                  <w:marLeft w:val="0"/>
                                                  <w:marRight w:val="0"/>
                                                  <w:marTop w:val="0"/>
                                                  <w:marBottom w:val="0"/>
                                                  <w:divBdr>
                                                    <w:top w:val="none" w:sz="0" w:space="0" w:color="auto"/>
                                                    <w:left w:val="none" w:sz="0" w:space="0" w:color="auto"/>
                                                    <w:bottom w:val="none" w:sz="0" w:space="0" w:color="auto"/>
                                                    <w:right w:val="none" w:sz="0" w:space="0" w:color="auto"/>
                                                  </w:divBdr>
                                                  <w:divsChild>
                                                    <w:div w:id="81961762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4659425">
                                                  <w:marLeft w:val="0"/>
                                                  <w:marRight w:val="0"/>
                                                  <w:marTop w:val="0"/>
                                                  <w:marBottom w:val="0"/>
                                                  <w:divBdr>
                                                    <w:top w:val="none" w:sz="0" w:space="0" w:color="auto"/>
                                                    <w:left w:val="none" w:sz="0" w:space="0" w:color="auto"/>
                                                    <w:bottom w:val="none" w:sz="0" w:space="0" w:color="auto"/>
                                                    <w:right w:val="none" w:sz="0" w:space="0" w:color="auto"/>
                                                  </w:divBdr>
                                                  <w:divsChild>
                                                    <w:div w:id="154849212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27702201">
                                                          <w:marLeft w:val="0"/>
                                                          <w:marRight w:val="0"/>
                                                          <w:marTop w:val="0"/>
                                                          <w:marBottom w:val="0"/>
                                                          <w:divBdr>
                                                            <w:top w:val="none" w:sz="0" w:space="0" w:color="auto"/>
                                                            <w:left w:val="none" w:sz="0" w:space="0" w:color="auto"/>
                                                            <w:bottom w:val="none" w:sz="0" w:space="0" w:color="auto"/>
                                                            <w:right w:val="none" w:sz="0" w:space="0" w:color="auto"/>
                                                          </w:divBdr>
                                                          <w:divsChild>
                                                            <w:div w:id="59528817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67518616">
                                                          <w:marLeft w:val="0"/>
                                                          <w:marRight w:val="0"/>
                                                          <w:marTop w:val="0"/>
                                                          <w:marBottom w:val="0"/>
                                                          <w:divBdr>
                                                            <w:top w:val="none" w:sz="0" w:space="0" w:color="auto"/>
                                                            <w:left w:val="none" w:sz="0" w:space="0" w:color="auto"/>
                                                            <w:bottom w:val="none" w:sz="0" w:space="0" w:color="auto"/>
                                                            <w:right w:val="none" w:sz="0" w:space="0" w:color="auto"/>
                                                          </w:divBdr>
                                                          <w:divsChild>
                                                            <w:div w:id="194492318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 w:id="399595976">
                                              <w:blockQuote w:val="1"/>
                                              <w:marLeft w:val="0"/>
                                              <w:marRight w:val="0"/>
                                              <w:marTop w:val="0"/>
                                              <w:marBottom w:val="300"/>
                                              <w:divBdr>
                                                <w:top w:val="none" w:sz="0" w:space="0" w:color="auto"/>
                                                <w:left w:val="single" w:sz="36" w:space="15" w:color="EEEEEE"/>
                                                <w:bottom w:val="none" w:sz="0" w:space="0" w:color="auto"/>
                                                <w:right w:val="none" w:sz="0" w:space="0" w:color="auto"/>
                                              </w:divBdr>
                                            </w:div>
                                            <w:div w:id="116635636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87524191">
                                                  <w:marLeft w:val="0"/>
                                                  <w:marRight w:val="0"/>
                                                  <w:marTop w:val="0"/>
                                                  <w:marBottom w:val="0"/>
                                                  <w:divBdr>
                                                    <w:top w:val="none" w:sz="0" w:space="0" w:color="auto"/>
                                                    <w:left w:val="none" w:sz="0" w:space="0" w:color="auto"/>
                                                    <w:bottom w:val="none" w:sz="0" w:space="0" w:color="auto"/>
                                                    <w:right w:val="none" w:sz="0" w:space="0" w:color="auto"/>
                                                  </w:divBdr>
                                                  <w:divsChild>
                                                    <w:div w:id="197764127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4734775">
                                                  <w:marLeft w:val="0"/>
                                                  <w:marRight w:val="0"/>
                                                  <w:marTop w:val="0"/>
                                                  <w:marBottom w:val="0"/>
                                                  <w:divBdr>
                                                    <w:top w:val="none" w:sz="0" w:space="0" w:color="auto"/>
                                                    <w:left w:val="none" w:sz="0" w:space="0" w:color="auto"/>
                                                    <w:bottom w:val="none" w:sz="0" w:space="0" w:color="auto"/>
                                                    <w:right w:val="none" w:sz="0" w:space="0" w:color="auto"/>
                                                  </w:divBdr>
                                                  <w:divsChild>
                                                    <w:div w:id="11169425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18397394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990748185">
                                                  <w:marLeft w:val="0"/>
                                                  <w:marRight w:val="0"/>
                                                  <w:marTop w:val="0"/>
                                                  <w:marBottom w:val="0"/>
                                                  <w:divBdr>
                                                    <w:top w:val="none" w:sz="0" w:space="0" w:color="auto"/>
                                                    <w:left w:val="none" w:sz="0" w:space="0" w:color="auto"/>
                                                    <w:bottom w:val="none" w:sz="0" w:space="0" w:color="auto"/>
                                                    <w:right w:val="none" w:sz="0" w:space="0" w:color="auto"/>
                                                  </w:divBdr>
                                                  <w:divsChild>
                                                    <w:div w:id="24329987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94426583">
                                                  <w:marLeft w:val="0"/>
                                                  <w:marRight w:val="0"/>
                                                  <w:marTop w:val="0"/>
                                                  <w:marBottom w:val="0"/>
                                                  <w:divBdr>
                                                    <w:top w:val="none" w:sz="0" w:space="0" w:color="auto"/>
                                                    <w:left w:val="none" w:sz="0" w:space="0" w:color="auto"/>
                                                    <w:bottom w:val="none" w:sz="0" w:space="0" w:color="auto"/>
                                                    <w:right w:val="none" w:sz="0" w:space="0" w:color="auto"/>
                                                  </w:divBdr>
                                                  <w:divsChild>
                                                    <w:div w:id="69974290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46158076">
                                                  <w:marLeft w:val="0"/>
                                                  <w:marRight w:val="0"/>
                                                  <w:marTop w:val="0"/>
                                                  <w:marBottom w:val="0"/>
                                                  <w:divBdr>
                                                    <w:top w:val="none" w:sz="0" w:space="0" w:color="auto"/>
                                                    <w:left w:val="none" w:sz="0" w:space="0" w:color="auto"/>
                                                    <w:bottom w:val="none" w:sz="0" w:space="0" w:color="auto"/>
                                                    <w:right w:val="none" w:sz="0" w:space="0" w:color="auto"/>
                                                  </w:divBdr>
                                                  <w:divsChild>
                                                    <w:div w:id="201537380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806799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855772665">
      <w:bodyDiv w:val="1"/>
      <w:marLeft w:val="0"/>
      <w:marRight w:val="750"/>
      <w:marTop w:val="0"/>
      <w:marBottom w:val="0"/>
      <w:divBdr>
        <w:top w:val="none" w:sz="0" w:space="0" w:color="auto"/>
        <w:left w:val="none" w:sz="0" w:space="0" w:color="auto"/>
        <w:bottom w:val="none" w:sz="0" w:space="0" w:color="auto"/>
        <w:right w:val="none" w:sz="0" w:space="0" w:color="auto"/>
      </w:divBdr>
      <w:divsChild>
        <w:div w:id="528687441">
          <w:marLeft w:val="0"/>
          <w:marRight w:val="0"/>
          <w:marTop w:val="0"/>
          <w:marBottom w:val="0"/>
          <w:divBdr>
            <w:top w:val="none" w:sz="0" w:space="0" w:color="auto"/>
            <w:left w:val="none" w:sz="0" w:space="0" w:color="auto"/>
            <w:bottom w:val="none" w:sz="0" w:space="0" w:color="auto"/>
            <w:right w:val="none" w:sz="0" w:space="0" w:color="auto"/>
          </w:divBdr>
          <w:divsChild>
            <w:div w:id="1868563497">
              <w:marLeft w:val="0"/>
              <w:marRight w:val="0"/>
              <w:marTop w:val="0"/>
              <w:marBottom w:val="0"/>
              <w:divBdr>
                <w:top w:val="none" w:sz="0" w:space="0" w:color="auto"/>
                <w:left w:val="none" w:sz="0" w:space="0" w:color="auto"/>
                <w:bottom w:val="none" w:sz="0" w:space="0" w:color="auto"/>
                <w:right w:val="none" w:sz="0" w:space="0" w:color="auto"/>
              </w:divBdr>
              <w:divsChild>
                <w:div w:id="1286158009">
                  <w:marLeft w:val="0"/>
                  <w:marRight w:val="0"/>
                  <w:marTop w:val="0"/>
                  <w:marBottom w:val="0"/>
                  <w:divBdr>
                    <w:top w:val="none" w:sz="0" w:space="0" w:color="auto"/>
                    <w:left w:val="none" w:sz="0" w:space="0" w:color="auto"/>
                    <w:bottom w:val="none" w:sz="0" w:space="0" w:color="auto"/>
                    <w:right w:val="none" w:sz="0" w:space="0" w:color="auto"/>
                  </w:divBdr>
                  <w:divsChild>
                    <w:div w:id="1062023423">
                      <w:marLeft w:val="-225"/>
                      <w:marRight w:val="-225"/>
                      <w:marTop w:val="0"/>
                      <w:marBottom w:val="0"/>
                      <w:divBdr>
                        <w:top w:val="none" w:sz="0" w:space="0" w:color="auto"/>
                        <w:left w:val="none" w:sz="0" w:space="0" w:color="auto"/>
                        <w:bottom w:val="none" w:sz="0" w:space="0" w:color="auto"/>
                        <w:right w:val="none" w:sz="0" w:space="0" w:color="auto"/>
                      </w:divBdr>
                      <w:divsChild>
                        <w:div w:id="1387023143">
                          <w:marLeft w:val="0"/>
                          <w:marRight w:val="0"/>
                          <w:marTop w:val="0"/>
                          <w:marBottom w:val="0"/>
                          <w:divBdr>
                            <w:top w:val="none" w:sz="0" w:space="0" w:color="auto"/>
                            <w:left w:val="none" w:sz="0" w:space="0" w:color="auto"/>
                            <w:bottom w:val="none" w:sz="0" w:space="0" w:color="auto"/>
                            <w:right w:val="none" w:sz="0" w:space="0" w:color="auto"/>
                          </w:divBdr>
                          <w:divsChild>
                            <w:div w:id="1593081427">
                              <w:marLeft w:val="0"/>
                              <w:marRight w:val="0"/>
                              <w:marTop w:val="0"/>
                              <w:marBottom w:val="0"/>
                              <w:divBdr>
                                <w:top w:val="none" w:sz="0" w:space="0" w:color="auto"/>
                                <w:left w:val="none" w:sz="0" w:space="0" w:color="auto"/>
                                <w:bottom w:val="none" w:sz="0" w:space="0" w:color="auto"/>
                                <w:right w:val="none" w:sz="0" w:space="0" w:color="auto"/>
                              </w:divBdr>
                              <w:divsChild>
                                <w:div w:id="427389065">
                                  <w:marLeft w:val="0"/>
                                  <w:marRight w:val="0"/>
                                  <w:marTop w:val="0"/>
                                  <w:marBottom w:val="0"/>
                                  <w:divBdr>
                                    <w:top w:val="none" w:sz="0" w:space="0" w:color="auto"/>
                                    <w:left w:val="none" w:sz="0" w:space="0" w:color="auto"/>
                                    <w:bottom w:val="none" w:sz="0" w:space="0" w:color="auto"/>
                                    <w:right w:val="none" w:sz="0" w:space="0" w:color="auto"/>
                                  </w:divBdr>
                                  <w:divsChild>
                                    <w:div w:id="1323922758">
                                      <w:marLeft w:val="0"/>
                                      <w:marRight w:val="0"/>
                                      <w:marTop w:val="0"/>
                                      <w:marBottom w:val="0"/>
                                      <w:divBdr>
                                        <w:top w:val="none" w:sz="0" w:space="0" w:color="auto"/>
                                        <w:left w:val="none" w:sz="0" w:space="0" w:color="auto"/>
                                        <w:bottom w:val="none" w:sz="0" w:space="0" w:color="auto"/>
                                        <w:right w:val="none" w:sz="0" w:space="0" w:color="auto"/>
                                      </w:divBdr>
                                      <w:divsChild>
                                        <w:div w:id="6110166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65472447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084714213">
                                                  <w:marLeft w:val="0"/>
                                                  <w:marRight w:val="0"/>
                                                  <w:marTop w:val="0"/>
                                                  <w:marBottom w:val="0"/>
                                                  <w:divBdr>
                                                    <w:top w:val="none" w:sz="0" w:space="0" w:color="auto"/>
                                                    <w:left w:val="none" w:sz="0" w:space="0" w:color="auto"/>
                                                    <w:bottom w:val="none" w:sz="0" w:space="0" w:color="auto"/>
                                                    <w:right w:val="none" w:sz="0" w:space="0" w:color="auto"/>
                                                  </w:divBdr>
                                                  <w:divsChild>
                                                    <w:div w:id="14837421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69081173">
                                                  <w:marLeft w:val="0"/>
                                                  <w:marRight w:val="0"/>
                                                  <w:marTop w:val="0"/>
                                                  <w:marBottom w:val="0"/>
                                                  <w:divBdr>
                                                    <w:top w:val="none" w:sz="0" w:space="0" w:color="auto"/>
                                                    <w:left w:val="none" w:sz="0" w:space="0" w:color="auto"/>
                                                    <w:bottom w:val="none" w:sz="0" w:space="0" w:color="auto"/>
                                                    <w:right w:val="none" w:sz="0" w:space="0" w:color="auto"/>
                                                  </w:divBdr>
                                                  <w:divsChild>
                                                    <w:div w:id="22468823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16507484">
                                                  <w:marLeft w:val="0"/>
                                                  <w:marRight w:val="0"/>
                                                  <w:marTop w:val="0"/>
                                                  <w:marBottom w:val="0"/>
                                                  <w:divBdr>
                                                    <w:top w:val="none" w:sz="0" w:space="0" w:color="auto"/>
                                                    <w:left w:val="none" w:sz="0" w:space="0" w:color="auto"/>
                                                    <w:bottom w:val="none" w:sz="0" w:space="0" w:color="auto"/>
                                                    <w:right w:val="none" w:sz="0" w:space="0" w:color="auto"/>
                                                  </w:divBdr>
                                                  <w:divsChild>
                                                    <w:div w:id="162595911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2998939">
      <w:bodyDiv w:val="1"/>
      <w:marLeft w:val="0"/>
      <w:marRight w:val="750"/>
      <w:marTop w:val="0"/>
      <w:marBottom w:val="0"/>
      <w:divBdr>
        <w:top w:val="none" w:sz="0" w:space="0" w:color="auto"/>
        <w:left w:val="none" w:sz="0" w:space="0" w:color="auto"/>
        <w:bottom w:val="none" w:sz="0" w:space="0" w:color="auto"/>
        <w:right w:val="none" w:sz="0" w:space="0" w:color="auto"/>
      </w:divBdr>
      <w:divsChild>
        <w:div w:id="2016179640">
          <w:marLeft w:val="0"/>
          <w:marRight w:val="0"/>
          <w:marTop w:val="0"/>
          <w:marBottom w:val="0"/>
          <w:divBdr>
            <w:top w:val="none" w:sz="0" w:space="0" w:color="auto"/>
            <w:left w:val="none" w:sz="0" w:space="0" w:color="auto"/>
            <w:bottom w:val="none" w:sz="0" w:space="0" w:color="auto"/>
            <w:right w:val="none" w:sz="0" w:space="0" w:color="auto"/>
          </w:divBdr>
          <w:divsChild>
            <w:div w:id="236601105">
              <w:marLeft w:val="0"/>
              <w:marRight w:val="0"/>
              <w:marTop w:val="0"/>
              <w:marBottom w:val="0"/>
              <w:divBdr>
                <w:top w:val="none" w:sz="0" w:space="0" w:color="auto"/>
                <w:left w:val="none" w:sz="0" w:space="0" w:color="auto"/>
                <w:bottom w:val="none" w:sz="0" w:space="0" w:color="auto"/>
                <w:right w:val="none" w:sz="0" w:space="0" w:color="auto"/>
              </w:divBdr>
              <w:divsChild>
                <w:div w:id="646132610">
                  <w:marLeft w:val="0"/>
                  <w:marRight w:val="0"/>
                  <w:marTop w:val="0"/>
                  <w:marBottom w:val="0"/>
                  <w:divBdr>
                    <w:top w:val="none" w:sz="0" w:space="0" w:color="auto"/>
                    <w:left w:val="none" w:sz="0" w:space="0" w:color="auto"/>
                    <w:bottom w:val="none" w:sz="0" w:space="0" w:color="auto"/>
                    <w:right w:val="none" w:sz="0" w:space="0" w:color="auto"/>
                  </w:divBdr>
                  <w:divsChild>
                    <w:div w:id="2100246026">
                      <w:marLeft w:val="-225"/>
                      <w:marRight w:val="-225"/>
                      <w:marTop w:val="0"/>
                      <w:marBottom w:val="0"/>
                      <w:divBdr>
                        <w:top w:val="none" w:sz="0" w:space="0" w:color="auto"/>
                        <w:left w:val="none" w:sz="0" w:space="0" w:color="auto"/>
                        <w:bottom w:val="none" w:sz="0" w:space="0" w:color="auto"/>
                        <w:right w:val="none" w:sz="0" w:space="0" w:color="auto"/>
                      </w:divBdr>
                      <w:divsChild>
                        <w:div w:id="415174827">
                          <w:marLeft w:val="0"/>
                          <w:marRight w:val="0"/>
                          <w:marTop w:val="0"/>
                          <w:marBottom w:val="0"/>
                          <w:divBdr>
                            <w:top w:val="none" w:sz="0" w:space="0" w:color="auto"/>
                            <w:left w:val="none" w:sz="0" w:space="0" w:color="auto"/>
                            <w:bottom w:val="none" w:sz="0" w:space="0" w:color="auto"/>
                            <w:right w:val="none" w:sz="0" w:space="0" w:color="auto"/>
                          </w:divBdr>
                          <w:divsChild>
                            <w:div w:id="634411799">
                              <w:marLeft w:val="0"/>
                              <w:marRight w:val="0"/>
                              <w:marTop w:val="0"/>
                              <w:marBottom w:val="0"/>
                              <w:divBdr>
                                <w:top w:val="none" w:sz="0" w:space="0" w:color="auto"/>
                                <w:left w:val="none" w:sz="0" w:space="0" w:color="auto"/>
                                <w:bottom w:val="none" w:sz="0" w:space="0" w:color="auto"/>
                                <w:right w:val="none" w:sz="0" w:space="0" w:color="auto"/>
                              </w:divBdr>
                              <w:divsChild>
                                <w:div w:id="498471681">
                                  <w:marLeft w:val="0"/>
                                  <w:marRight w:val="0"/>
                                  <w:marTop w:val="0"/>
                                  <w:marBottom w:val="0"/>
                                  <w:divBdr>
                                    <w:top w:val="none" w:sz="0" w:space="0" w:color="auto"/>
                                    <w:left w:val="none" w:sz="0" w:space="0" w:color="auto"/>
                                    <w:bottom w:val="none" w:sz="0" w:space="0" w:color="auto"/>
                                    <w:right w:val="none" w:sz="0" w:space="0" w:color="auto"/>
                                  </w:divBdr>
                                  <w:divsChild>
                                    <w:div w:id="835730253">
                                      <w:marLeft w:val="0"/>
                                      <w:marRight w:val="0"/>
                                      <w:marTop w:val="0"/>
                                      <w:marBottom w:val="0"/>
                                      <w:divBdr>
                                        <w:top w:val="none" w:sz="0" w:space="0" w:color="auto"/>
                                        <w:left w:val="none" w:sz="0" w:space="0" w:color="auto"/>
                                        <w:bottom w:val="none" w:sz="0" w:space="0" w:color="auto"/>
                                        <w:right w:val="none" w:sz="0" w:space="0" w:color="auto"/>
                                      </w:divBdr>
                                      <w:divsChild>
                                        <w:div w:id="13553480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15659146">
                                              <w:blockQuote w:val="1"/>
                                              <w:marLeft w:val="0"/>
                                              <w:marRight w:val="0"/>
                                              <w:marTop w:val="0"/>
                                              <w:marBottom w:val="300"/>
                                              <w:divBdr>
                                                <w:top w:val="none" w:sz="0" w:space="0" w:color="auto"/>
                                                <w:left w:val="single" w:sz="36" w:space="15" w:color="EEEEEE"/>
                                                <w:bottom w:val="none" w:sz="0" w:space="0" w:color="auto"/>
                                                <w:right w:val="none" w:sz="0" w:space="0" w:color="auto"/>
                                              </w:divBdr>
                                            </w:div>
                                            <w:div w:id="61945773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967131177">
      <w:bodyDiv w:val="1"/>
      <w:marLeft w:val="0"/>
      <w:marRight w:val="750"/>
      <w:marTop w:val="0"/>
      <w:marBottom w:val="0"/>
      <w:divBdr>
        <w:top w:val="none" w:sz="0" w:space="0" w:color="auto"/>
        <w:left w:val="none" w:sz="0" w:space="0" w:color="auto"/>
        <w:bottom w:val="none" w:sz="0" w:space="0" w:color="auto"/>
        <w:right w:val="none" w:sz="0" w:space="0" w:color="auto"/>
      </w:divBdr>
      <w:divsChild>
        <w:div w:id="100760229">
          <w:marLeft w:val="0"/>
          <w:marRight w:val="0"/>
          <w:marTop w:val="0"/>
          <w:marBottom w:val="0"/>
          <w:divBdr>
            <w:top w:val="none" w:sz="0" w:space="0" w:color="auto"/>
            <w:left w:val="none" w:sz="0" w:space="0" w:color="auto"/>
            <w:bottom w:val="none" w:sz="0" w:space="0" w:color="auto"/>
            <w:right w:val="none" w:sz="0" w:space="0" w:color="auto"/>
          </w:divBdr>
          <w:divsChild>
            <w:div w:id="871577587">
              <w:marLeft w:val="0"/>
              <w:marRight w:val="0"/>
              <w:marTop w:val="0"/>
              <w:marBottom w:val="0"/>
              <w:divBdr>
                <w:top w:val="none" w:sz="0" w:space="0" w:color="auto"/>
                <w:left w:val="none" w:sz="0" w:space="0" w:color="auto"/>
                <w:bottom w:val="none" w:sz="0" w:space="0" w:color="auto"/>
                <w:right w:val="none" w:sz="0" w:space="0" w:color="auto"/>
              </w:divBdr>
              <w:divsChild>
                <w:div w:id="2119250572">
                  <w:marLeft w:val="0"/>
                  <w:marRight w:val="0"/>
                  <w:marTop w:val="0"/>
                  <w:marBottom w:val="0"/>
                  <w:divBdr>
                    <w:top w:val="none" w:sz="0" w:space="0" w:color="auto"/>
                    <w:left w:val="none" w:sz="0" w:space="0" w:color="auto"/>
                    <w:bottom w:val="none" w:sz="0" w:space="0" w:color="auto"/>
                    <w:right w:val="none" w:sz="0" w:space="0" w:color="auto"/>
                  </w:divBdr>
                  <w:divsChild>
                    <w:div w:id="1514033358">
                      <w:marLeft w:val="-225"/>
                      <w:marRight w:val="-225"/>
                      <w:marTop w:val="0"/>
                      <w:marBottom w:val="0"/>
                      <w:divBdr>
                        <w:top w:val="none" w:sz="0" w:space="0" w:color="auto"/>
                        <w:left w:val="none" w:sz="0" w:space="0" w:color="auto"/>
                        <w:bottom w:val="none" w:sz="0" w:space="0" w:color="auto"/>
                        <w:right w:val="none" w:sz="0" w:space="0" w:color="auto"/>
                      </w:divBdr>
                      <w:divsChild>
                        <w:div w:id="1985501846">
                          <w:marLeft w:val="0"/>
                          <w:marRight w:val="0"/>
                          <w:marTop w:val="0"/>
                          <w:marBottom w:val="0"/>
                          <w:divBdr>
                            <w:top w:val="none" w:sz="0" w:space="0" w:color="auto"/>
                            <w:left w:val="none" w:sz="0" w:space="0" w:color="auto"/>
                            <w:bottom w:val="none" w:sz="0" w:space="0" w:color="auto"/>
                            <w:right w:val="none" w:sz="0" w:space="0" w:color="auto"/>
                          </w:divBdr>
                          <w:divsChild>
                            <w:div w:id="1521888923">
                              <w:marLeft w:val="0"/>
                              <w:marRight w:val="0"/>
                              <w:marTop w:val="0"/>
                              <w:marBottom w:val="0"/>
                              <w:divBdr>
                                <w:top w:val="none" w:sz="0" w:space="0" w:color="auto"/>
                                <w:left w:val="none" w:sz="0" w:space="0" w:color="auto"/>
                                <w:bottom w:val="none" w:sz="0" w:space="0" w:color="auto"/>
                                <w:right w:val="none" w:sz="0" w:space="0" w:color="auto"/>
                              </w:divBdr>
                              <w:divsChild>
                                <w:div w:id="333143636">
                                  <w:marLeft w:val="0"/>
                                  <w:marRight w:val="0"/>
                                  <w:marTop w:val="0"/>
                                  <w:marBottom w:val="0"/>
                                  <w:divBdr>
                                    <w:top w:val="none" w:sz="0" w:space="0" w:color="auto"/>
                                    <w:left w:val="none" w:sz="0" w:space="0" w:color="auto"/>
                                    <w:bottom w:val="none" w:sz="0" w:space="0" w:color="auto"/>
                                    <w:right w:val="none" w:sz="0" w:space="0" w:color="auto"/>
                                  </w:divBdr>
                                  <w:divsChild>
                                    <w:div w:id="456336884">
                                      <w:marLeft w:val="0"/>
                                      <w:marRight w:val="0"/>
                                      <w:marTop w:val="0"/>
                                      <w:marBottom w:val="0"/>
                                      <w:divBdr>
                                        <w:top w:val="none" w:sz="0" w:space="0" w:color="auto"/>
                                        <w:left w:val="none" w:sz="0" w:space="0" w:color="auto"/>
                                        <w:bottom w:val="none" w:sz="0" w:space="0" w:color="auto"/>
                                        <w:right w:val="none" w:sz="0" w:space="0" w:color="auto"/>
                                      </w:divBdr>
                                      <w:divsChild>
                                        <w:div w:id="20269035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2886625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874034014">
                                                  <w:marLeft w:val="0"/>
                                                  <w:marRight w:val="0"/>
                                                  <w:marTop w:val="0"/>
                                                  <w:marBottom w:val="0"/>
                                                  <w:divBdr>
                                                    <w:top w:val="none" w:sz="0" w:space="0" w:color="auto"/>
                                                    <w:left w:val="none" w:sz="0" w:space="0" w:color="auto"/>
                                                    <w:bottom w:val="none" w:sz="0" w:space="0" w:color="auto"/>
                                                    <w:right w:val="none" w:sz="0" w:space="0" w:color="auto"/>
                                                  </w:divBdr>
                                                  <w:divsChild>
                                                    <w:div w:id="53276567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79502264">
                                                  <w:marLeft w:val="0"/>
                                                  <w:marRight w:val="0"/>
                                                  <w:marTop w:val="0"/>
                                                  <w:marBottom w:val="0"/>
                                                  <w:divBdr>
                                                    <w:top w:val="none" w:sz="0" w:space="0" w:color="auto"/>
                                                    <w:left w:val="none" w:sz="0" w:space="0" w:color="auto"/>
                                                    <w:bottom w:val="none" w:sz="0" w:space="0" w:color="auto"/>
                                                    <w:right w:val="none" w:sz="0" w:space="0" w:color="auto"/>
                                                  </w:divBdr>
                                                  <w:divsChild>
                                                    <w:div w:id="60843924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2824808">
                                                  <w:marLeft w:val="0"/>
                                                  <w:marRight w:val="0"/>
                                                  <w:marTop w:val="0"/>
                                                  <w:marBottom w:val="0"/>
                                                  <w:divBdr>
                                                    <w:top w:val="none" w:sz="0" w:space="0" w:color="auto"/>
                                                    <w:left w:val="none" w:sz="0" w:space="0" w:color="auto"/>
                                                    <w:bottom w:val="none" w:sz="0" w:space="0" w:color="auto"/>
                                                    <w:right w:val="none" w:sz="0" w:space="0" w:color="auto"/>
                                                  </w:divBdr>
                                                  <w:divsChild>
                                                    <w:div w:id="202081641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98432576">
                                                  <w:marLeft w:val="0"/>
                                                  <w:marRight w:val="0"/>
                                                  <w:marTop w:val="0"/>
                                                  <w:marBottom w:val="0"/>
                                                  <w:divBdr>
                                                    <w:top w:val="none" w:sz="0" w:space="0" w:color="auto"/>
                                                    <w:left w:val="none" w:sz="0" w:space="0" w:color="auto"/>
                                                    <w:bottom w:val="none" w:sz="0" w:space="0" w:color="auto"/>
                                                    <w:right w:val="none" w:sz="0" w:space="0" w:color="auto"/>
                                                  </w:divBdr>
                                                  <w:divsChild>
                                                    <w:div w:id="1403838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617172368">
                                              <w:blockQuote w:val="1"/>
                                              <w:marLeft w:val="0"/>
                                              <w:marRight w:val="0"/>
                                              <w:marTop w:val="0"/>
                                              <w:marBottom w:val="300"/>
                                              <w:divBdr>
                                                <w:top w:val="none" w:sz="0" w:space="0" w:color="auto"/>
                                                <w:left w:val="single" w:sz="36" w:space="15" w:color="EEEEEE"/>
                                                <w:bottom w:val="none" w:sz="0" w:space="0" w:color="auto"/>
                                                <w:right w:val="none" w:sz="0" w:space="0" w:color="auto"/>
                                              </w:divBdr>
                                            </w:div>
                                            <w:div w:id="111359239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629623124">
                                                  <w:marLeft w:val="0"/>
                                                  <w:marRight w:val="0"/>
                                                  <w:marTop w:val="0"/>
                                                  <w:marBottom w:val="0"/>
                                                  <w:divBdr>
                                                    <w:top w:val="none" w:sz="0" w:space="0" w:color="auto"/>
                                                    <w:left w:val="none" w:sz="0" w:space="0" w:color="auto"/>
                                                    <w:bottom w:val="none" w:sz="0" w:space="0" w:color="auto"/>
                                                    <w:right w:val="none" w:sz="0" w:space="0" w:color="auto"/>
                                                  </w:divBdr>
                                                  <w:divsChild>
                                                    <w:div w:id="471999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70760796">
                                                  <w:marLeft w:val="0"/>
                                                  <w:marRight w:val="0"/>
                                                  <w:marTop w:val="0"/>
                                                  <w:marBottom w:val="0"/>
                                                  <w:divBdr>
                                                    <w:top w:val="none" w:sz="0" w:space="0" w:color="auto"/>
                                                    <w:left w:val="none" w:sz="0" w:space="0" w:color="auto"/>
                                                    <w:bottom w:val="none" w:sz="0" w:space="0" w:color="auto"/>
                                                    <w:right w:val="none" w:sz="0" w:space="0" w:color="auto"/>
                                                  </w:divBdr>
                                                  <w:divsChild>
                                                    <w:div w:id="38437719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22085931">
                                                  <w:marLeft w:val="0"/>
                                                  <w:marRight w:val="0"/>
                                                  <w:marTop w:val="0"/>
                                                  <w:marBottom w:val="0"/>
                                                  <w:divBdr>
                                                    <w:top w:val="none" w:sz="0" w:space="0" w:color="auto"/>
                                                    <w:left w:val="none" w:sz="0" w:space="0" w:color="auto"/>
                                                    <w:bottom w:val="none" w:sz="0" w:space="0" w:color="auto"/>
                                                    <w:right w:val="none" w:sz="0" w:space="0" w:color="auto"/>
                                                  </w:divBdr>
                                                  <w:divsChild>
                                                    <w:div w:id="71901179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1489934">
      <w:bodyDiv w:val="1"/>
      <w:marLeft w:val="0"/>
      <w:marRight w:val="679"/>
      <w:marTop w:val="0"/>
      <w:marBottom w:val="0"/>
      <w:divBdr>
        <w:top w:val="none" w:sz="0" w:space="0" w:color="auto"/>
        <w:left w:val="none" w:sz="0" w:space="0" w:color="auto"/>
        <w:bottom w:val="none" w:sz="0" w:space="0" w:color="auto"/>
        <w:right w:val="none" w:sz="0" w:space="0" w:color="auto"/>
      </w:divBdr>
      <w:divsChild>
        <w:div w:id="478377203">
          <w:marLeft w:val="0"/>
          <w:marRight w:val="0"/>
          <w:marTop w:val="0"/>
          <w:marBottom w:val="0"/>
          <w:divBdr>
            <w:top w:val="none" w:sz="0" w:space="0" w:color="auto"/>
            <w:left w:val="none" w:sz="0" w:space="0" w:color="auto"/>
            <w:bottom w:val="none" w:sz="0" w:space="0" w:color="auto"/>
            <w:right w:val="none" w:sz="0" w:space="0" w:color="auto"/>
          </w:divBdr>
          <w:divsChild>
            <w:div w:id="2091805487">
              <w:marLeft w:val="0"/>
              <w:marRight w:val="0"/>
              <w:marTop w:val="0"/>
              <w:marBottom w:val="0"/>
              <w:divBdr>
                <w:top w:val="none" w:sz="0" w:space="0" w:color="auto"/>
                <w:left w:val="none" w:sz="0" w:space="0" w:color="auto"/>
                <w:bottom w:val="none" w:sz="0" w:space="0" w:color="auto"/>
                <w:right w:val="none" w:sz="0" w:space="0" w:color="auto"/>
              </w:divBdr>
              <w:divsChild>
                <w:div w:id="2050640998">
                  <w:marLeft w:val="0"/>
                  <w:marRight w:val="0"/>
                  <w:marTop w:val="0"/>
                  <w:marBottom w:val="0"/>
                  <w:divBdr>
                    <w:top w:val="none" w:sz="0" w:space="0" w:color="auto"/>
                    <w:left w:val="none" w:sz="0" w:space="0" w:color="auto"/>
                    <w:bottom w:val="none" w:sz="0" w:space="0" w:color="auto"/>
                    <w:right w:val="none" w:sz="0" w:space="0" w:color="auto"/>
                  </w:divBdr>
                  <w:divsChild>
                    <w:div w:id="1166433053">
                      <w:marLeft w:val="-204"/>
                      <w:marRight w:val="-204"/>
                      <w:marTop w:val="0"/>
                      <w:marBottom w:val="0"/>
                      <w:divBdr>
                        <w:top w:val="none" w:sz="0" w:space="0" w:color="auto"/>
                        <w:left w:val="none" w:sz="0" w:space="0" w:color="auto"/>
                        <w:bottom w:val="none" w:sz="0" w:space="0" w:color="auto"/>
                        <w:right w:val="none" w:sz="0" w:space="0" w:color="auto"/>
                      </w:divBdr>
                      <w:divsChild>
                        <w:div w:id="841089640">
                          <w:marLeft w:val="0"/>
                          <w:marRight w:val="0"/>
                          <w:marTop w:val="0"/>
                          <w:marBottom w:val="0"/>
                          <w:divBdr>
                            <w:top w:val="none" w:sz="0" w:space="0" w:color="auto"/>
                            <w:left w:val="none" w:sz="0" w:space="0" w:color="auto"/>
                            <w:bottom w:val="none" w:sz="0" w:space="0" w:color="auto"/>
                            <w:right w:val="none" w:sz="0" w:space="0" w:color="auto"/>
                          </w:divBdr>
                          <w:divsChild>
                            <w:div w:id="19742952">
                              <w:marLeft w:val="0"/>
                              <w:marRight w:val="0"/>
                              <w:marTop w:val="0"/>
                              <w:marBottom w:val="0"/>
                              <w:divBdr>
                                <w:top w:val="none" w:sz="0" w:space="0" w:color="auto"/>
                                <w:left w:val="none" w:sz="0" w:space="0" w:color="auto"/>
                                <w:bottom w:val="none" w:sz="0" w:space="0" w:color="auto"/>
                                <w:right w:val="none" w:sz="0" w:space="0" w:color="auto"/>
                              </w:divBdr>
                              <w:divsChild>
                                <w:div w:id="1790928730">
                                  <w:marLeft w:val="0"/>
                                  <w:marRight w:val="0"/>
                                  <w:marTop w:val="0"/>
                                  <w:marBottom w:val="0"/>
                                  <w:divBdr>
                                    <w:top w:val="none" w:sz="0" w:space="0" w:color="auto"/>
                                    <w:left w:val="none" w:sz="0" w:space="0" w:color="auto"/>
                                    <w:bottom w:val="none" w:sz="0" w:space="0" w:color="auto"/>
                                    <w:right w:val="none" w:sz="0" w:space="0" w:color="auto"/>
                                  </w:divBdr>
                                  <w:divsChild>
                                    <w:div w:id="641815861">
                                      <w:marLeft w:val="0"/>
                                      <w:marRight w:val="0"/>
                                      <w:marTop w:val="0"/>
                                      <w:marBottom w:val="0"/>
                                      <w:divBdr>
                                        <w:top w:val="none" w:sz="0" w:space="0" w:color="auto"/>
                                        <w:left w:val="none" w:sz="0" w:space="0" w:color="auto"/>
                                        <w:bottom w:val="none" w:sz="0" w:space="0" w:color="auto"/>
                                        <w:right w:val="none" w:sz="0" w:space="0" w:color="auto"/>
                                      </w:divBdr>
                                      <w:divsChild>
                                        <w:div w:id="130095679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50728370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151560163">
                                                  <w:marLeft w:val="0"/>
                                                  <w:marRight w:val="0"/>
                                                  <w:marTop w:val="0"/>
                                                  <w:marBottom w:val="0"/>
                                                  <w:divBdr>
                                                    <w:top w:val="none" w:sz="0" w:space="0" w:color="auto"/>
                                                    <w:left w:val="none" w:sz="0" w:space="0" w:color="auto"/>
                                                    <w:bottom w:val="none" w:sz="0" w:space="0" w:color="auto"/>
                                                    <w:right w:val="none" w:sz="0" w:space="0" w:color="auto"/>
                                                  </w:divBdr>
                                                  <w:divsChild>
                                                    <w:div w:id="85087465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2068794732">
                                                  <w:marLeft w:val="0"/>
                                                  <w:marRight w:val="0"/>
                                                  <w:marTop w:val="0"/>
                                                  <w:marBottom w:val="0"/>
                                                  <w:divBdr>
                                                    <w:top w:val="none" w:sz="0" w:space="0" w:color="auto"/>
                                                    <w:left w:val="none" w:sz="0" w:space="0" w:color="auto"/>
                                                    <w:bottom w:val="none" w:sz="0" w:space="0" w:color="auto"/>
                                                    <w:right w:val="none" w:sz="0" w:space="0" w:color="auto"/>
                                                  </w:divBdr>
                                                  <w:divsChild>
                                                    <w:div w:id="116058311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6337879">
      <w:bodyDiv w:val="1"/>
      <w:marLeft w:val="0"/>
      <w:marRight w:val="750"/>
      <w:marTop w:val="0"/>
      <w:marBottom w:val="0"/>
      <w:divBdr>
        <w:top w:val="none" w:sz="0" w:space="0" w:color="auto"/>
        <w:left w:val="none" w:sz="0" w:space="0" w:color="auto"/>
        <w:bottom w:val="none" w:sz="0" w:space="0" w:color="auto"/>
        <w:right w:val="none" w:sz="0" w:space="0" w:color="auto"/>
      </w:divBdr>
      <w:divsChild>
        <w:div w:id="1162089979">
          <w:marLeft w:val="0"/>
          <w:marRight w:val="0"/>
          <w:marTop w:val="0"/>
          <w:marBottom w:val="0"/>
          <w:divBdr>
            <w:top w:val="none" w:sz="0" w:space="0" w:color="auto"/>
            <w:left w:val="none" w:sz="0" w:space="0" w:color="auto"/>
            <w:bottom w:val="none" w:sz="0" w:space="0" w:color="auto"/>
            <w:right w:val="none" w:sz="0" w:space="0" w:color="auto"/>
          </w:divBdr>
          <w:divsChild>
            <w:div w:id="1660228798">
              <w:marLeft w:val="0"/>
              <w:marRight w:val="0"/>
              <w:marTop w:val="0"/>
              <w:marBottom w:val="0"/>
              <w:divBdr>
                <w:top w:val="none" w:sz="0" w:space="0" w:color="auto"/>
                <w:left w:val="none" w:sz="0" w:space="0" w:color="auto"/>
                <w:bottom w:val="none" w:sz="0" w:space="0" w:color="auto"/>
                <w:right w:val="none" w:sz="0" w:space="0" w:color="auto"/>
              </w:divBdr>
              <w:divsChild>
                <w:div w:id="656229026">
                  <w:marLeft w:val="0"/>
                  <w:marRight w:val="0"/>
                  <w:marTop w:val="0"/>
                  <w:marBottom w:val="0"/>
                  <w:divBdr>
                    <w:top w:val="none" w:sz="0" w:space="0" w:color="auto"/>
                    <w:left w:val="none" w:sz="0" w:space="0" w:color="auto"/>
                    <w:bottom w:val="none" w:sz="0" w:space="0" w:color="auto"/>
                    <w:right w:val="none" w:sz="0" w:space="0" w:color="auto"/>
                  </w:divBdr>
                  <w:divsChild>
                    <w:div w:id="392898720">
                      <w:marLeft w:val="-225"/>
                      <w:marRight w:val="-225"/>
                      <w:marTop w:val="0"/>
                      <w:marBottom w:val="0"/>
                      <w:divBdr>
                        <w:top w:val="none" w:sz="0" w:space="0" w:color="auto"/>
                        <w:left w:val="none" w:sz="0" w:space="0" w:color="auto"/>
                        <w:bottom w:val="none" w:sz="0" w:space="0" w:color="auto"/>
                        <w:right w:val="none" w:sz="0" w:space="0" w:color="auto"/>
                      </w:divBdr>
                      <w:divsChild>
                        <w:div w:id="609512473">
                          <w:marLeft w:val="0"/>
                          <w:marRight w:val="0"/>
                          <w:marTop w:val="0"/>
                          <w:marBottom w:val="0"/>
                          <w:divBdr>
                            <w:top w:val="none" w:sz="0" w:space="0" w:color="auto"/>
                            <w:left w:val="none" w:sz="0" w:space="0" w:color="auto"/>
                            <w:bottom w:val="none" w:sz="0" w:space="0" w:color="auto"/>
                            <w:right w:val="none" w:sz="0" w:space="0" w:color="auto"/>
                          </w:divBdr>
                          <w:divsChild>
                            <w:div w:id="1828550465">
                              <w:marLeft w:val="0"/>
                              <w:marRight w:val="0"/>
                              <w:marTop w:val="0"/>
                              <w:marBottom w:val="0"/>
                              <w:divBdr>
                                <w:top w:val="none" w:sz="0" w:space="0" w:color="auto"/>
                                <w:left w:val="none" w:sz="0" w:space="0" w:color="auto"/>
                                <w:bottom w:val="none" w:sz="0" w:space="0" w:color="auto"/>
                                <w:right w:val="none" w:sz="0" w:space="0" w:color="auto"/>
                              </w:divBdr>
                              <w:divsChild>
                                <w:div w:id="1081414383">
                                  <w:marLeft w:val="0"/>
                                  <w:marRight w:val="0"/>
                                  <w:marTop w:val="0"/>
                                  <w:marBottom w:val="0"/>
                                  <w:divBdr>
                                    <w:top w:val="none" w:sz="0" w:space="0" w:color="auto"/>
                                    <w:left w:val="none" w:sz="0" w:space="0" w:color="auto"/>
                                    <w:bottom w:val="none" w:sz="0" w:space="0" w:color="auto"/>
                                    <w:right w:val="none" w:sz="0" w:space="0" w:color="auto"/>
                                  </w:divBdr>
                                  <w:divsChild>
                                    <w:div w:id="630670222">
                                      <w:marLeft w:val="0"/>
                                      <w:marRight w:val="0"/>
                                      <w:marTop w:val="0"/>
                                      <w:marBottom w:val="0"/>
                                      <w:divBdr>
                                        <w:top w:val="none" w:sz="0" w:space="0" w:color="auto"/>
                                        <w:left w:val="none" w:sz="0" w:space="0" w:color="auto"/>
                                        <w:bottom w:val="none" w:sz="0" w:space="0" w:color="auto"/>
                                        <w:right w:val="none" w:sz="0" w:space="0" w:color="auto"/>
                                      </w:divBdr>
                                      <w:divsChild>
                                        <w:div w:id="56565188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7624086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81146912">
                                                  <w:marLeft w:val="0"/>
                                                  <w:marRight w:val="0"/>
                                                  <w:marTop w:val="0"/>
                                                  <w:marBottom w:val="0"/>
                                                  <w:divBdr>
                                                    <w:top w:val="none" w:sz="0" w:space="0" w:color="auto"/>
                                                    <w:left w:val="none" w:sz="0" w:space="0" w:color="auto"/>
                                                    <w:bottom w:val="none" w:sz="0" w:space="0" w:color="auto"/>
                                                    <w:right w:val="none" w:sz="0" w:space="0" w:color="auto"/>
                                                  </w:divBdr>
                                                  <w:divsChild>
                                                    <w:div w:id="169163731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34661539">
                                                  <w:marLeft w:val="0"/>
                                                  <w:marRight w:val="0"/>
                                                  <w:marTop w:val="0"/>
                                                  <w:marBottom w:val="0"/>
                                                  <w:divBdr>
                                                    <w:top w:val="none" w:sz="0" w:space="0" w:color="auto"/>
                                                    <w:left w:val="none" w:sz="0" w:space="0" w:color="auto"/>
                                                    <w:bottom w:val="none" w:sz="0" w:space="0" w:color="auto"/>
                                                    <w:right w:val="none" w:sz="0" w:space="0" w:color="auto"/>
                                                  </w:divBdr>
                                                  <w:divsChild>
                                                    <w:div w:id="18429657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91497598">
                                                          <w:marLeft w:val="0"/>
                                                          <w:marRight w:val="0"/>
                                                          <w:marTop w:val="0"/>
                                                          <w:marBottom w:val="0"/>
                                                          <w:divBdr>
                                                            <w:top w:val="none" w:sz="0" w:space="0" w:color="auto"/>
                                                            <w:left w:val="none" w:sz="0" w:space="0" w:color="auto"/>
                                                            <w:bottom w:val="none" w:sz="0" w:space="0" w:color="auto"/>
                                                            <w:right w:val="none" w:sz="0" w:space="0" w:color="auto"/>
                                                          </w:divBdr>
                                                          <w:divsChild>
                                                            <w:div w:id="113104918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1901121">
                                                          <w:marLeft w:val="0"/>
                                                          <w:marRight w:val="0"/>
                                                          <w:marTop w:val="0"/>
                                                          <w:marBottom w:val="0"/>
                                                          <w:divBdr>
                                                            <w:top w:val="none" w:sz="0" w:space="0" w:color="auto"/>
                                                            <w:left w:val="none" w:sz="0" w:space="0" w:color="auto"/>
                                                            <w:bottom w:val="none" w:sz="0" w:space="0" w:color="auto"/>
                                                            <w:right w:val="none" w:sz="0" w:space="0" w:color="auto"/>
                                                          </w:divBdr>
                                                          <w:divsChild>
                                                            <w:div w:id="4352906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6344485">
      <w:bodyDiv w:val="1"/>
      <w:marLeft w:val="0"/>
      <w:marRight w:val="750"/>
      <w:marTop w:val="0"/>
      <w:marBottom w:val="0"/>
      <w:divBdr>
        <w:top w:val="none" w:sz="0" w:space="0" w:color="auto"/>
        <w:left w:val="none" w:sz="0" w:space="0" w:color="auto"/>
        <w:bottom w:val="none" w:sz="0" w:space="0" w:color="auto"/>
        <w:right w:val="none" w:sz="0" w:space="0" w:color="auto"/>
      </w:divBdr>
      <w:divsChild>
        <w:div w:id="1251279684">
          <w:marLeft w:val="0"/>
          <w:marRight w:val="0"/>
          <w:marTop w:val="0"/>
          <w:marBottom w:val="0"/>
          <w:divBdr>
            <w:top w:val="none" w:sz="0" w:space="0" w:color="auto"/>
            <w:left w:val="none" w:sz="0" w:space="0" w:color="auto"/>
            <w:bottom w:val="none" w:sz="0" w:space="0" w:color="auto"/>
            <w:right w:val="none" w:sz="0" w:space="0" w:color="auto"/>
          </w:divBdr>
          <w:divsChild>
            <w:div w:id="568461935">
              <w:marLeft w:val="0"/>
              <w:marRight w:val="0"/>
              <w:marTop w:val="0"/>
              <w:marBottom w:val="0"/>
              <w:divBdr>
                <w:top w:val="none" w:sz="0" w:space="0" w:color="auto"/>
                <w:left w:val="none" w:sz="0" w:space="0" w:color="auto"/>
                <w:bottom w:val="none" w:sz="0" w:space="0" w:color="auto"/>
                <w:right w:val="none" w:sz="0" w:space="0" w:color="auto"/>
              </w:divBdr>
              <w:divsChild>
                <w:div w:id="2114739127">
                  <w:marLeft w:val="0"/>
                  <w:marRight w:val="0"/>
                  <w:marTop w:val="0"/>
                  <w:marBottom w:val="0"/>
                  <w:divBdr>
                    <w:top w:val="none" w:sz="0" w:space="0" w:color="auto"/>
                    <w:left w:val="none" w:sz="0" w:space="0" w:color="auto"/>
                    <w:bottom w:val="none" w:sz="0" w:space="0" w:color="auto"/>
                    <w:right w:val="none" w:sz="0" w:space="0" w:color="auto"/>
                  </w:divBdr>
                  <w:divsChild>
                    <w:div w:id="725295850">
                      <w:marLeft w:val="-225"/>
                      <w:marRight w:val="-225"/>
                      <w:marTop w:val="0"/>
                      <w:marBottom w:val="0"/>
                      <w:divBdr>
                        <w:top w:val="none" w:sz="0" w:space="0" w:color="auto"/>
                        <w:left w:val="none" w:sz="0" w:space="0" w:color="auto"/>
                        <w:bottom w:val="none" w:sz="0" w:space="0" w:color="auto"/>
                        <w:right w:val="none" w:sz="0" w:space="0" w:color="auto"/>
                      </w:divBdr>
                      <w:divsChild>
                        <w:div w:id="2057705341">
                          <w:marLeft w:val="0"/>
                          <w:marRight w:val="0"/>
                          <w:marTop w:val="0"/>
                          <w:marBottom w:val="0"/>
                          <w:divBdr>
                            <w:top w:val="none" w:sz="0" w:space="0" w:color="auto"/>
                            <w:left w:val="none" w:sz="0" w:space="0" w:color="auto"/>
                            <w:bottom w:val="none" w:sz="0" w:space="0" w:color="auto"/>
                            <w:right w:val="none" w:sz="0" w:space="0" w:color="auto"/>
                          </w:divBdr>
                          <w:divsChild>
                            <w:div w:id="1381132168">
                              <w:marLeft w:val="0"/>
                              <w:marRight w:val="0"/>
                              <w:marTop w:val="0"/>
                              <w:marBottom w:val="0"/>
                              <w:divBdr>
                                <w:top w:val="none" w:sz="0" w:space="0" w:color="auto"/>
                                <w:left w:val="none" w:sz="0" w:space="0" w:color="auto"/>
                                <w:bottom w:val="none" w:sz="0" w:space="0" w:color="auto"/>
                                <w:right w:val="none" w:sz="0" w:space="0" w:color="auto"/>
                              </w:divBdr>
                              <w:divsChild>
                                <w:div w:id="825098249">
                                  <w:marLeft w:val="0"/>
                                  <w:marRight w:val="0"/>
                                  <w:marTop w:val="0"/>
                                  <w:marBottom w:val="0"/>
                                  <w:divBdr>
                                    <w:top w:val="none" w:sz="0" w:space="0" w:color="auto"/>
                                    <w:left w:val="none" w:sz="0" w:space="0" w:color="auto"/>
                                    <w:bottom w:val="none" w:sz="0" w:space="0" w:color="auto"/>
                                    <w:right w:val="none" w:sz="0" w:space="0" w:color="auto"/>
                                  </w:divBdr>
                                  <w:divsChild>
                                    <w:div w:id="799348856">
                                      <w:marLeft w:val="0"/>
                                      <w:marRight w:val="0"/>
                                      <w:marTop w:val="0"/>
                                      <w:marBottom w:val="0"/>
                                      <w:divBdr>
                                        <w:top w:val="none" w:sz="0" w:space="0" w:color="auto"/>
                                        <w:left w:val="none" w:sz="0" w:space="0" w:color="auto"/>
                                        <w:bottom w:val="none" w:sz="0" w:space="0" w:color="auto"/>
                                        <w:right w:val="none" w:sz="0" w:space="0" w:color="auto"/>
                                      </w:divBdr>
                                      <w:divsChild>
                                        <w:div w:id="130751747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96478846">
                                              <w:blockQuote w:val="1"/>
                                              <w:marLeft w:val="0"/>
                                              <w:marRight w:val="0"/>
                                              <w:marTop w:val="0"/>
                                              <w:marBottom w:val="300"/>
                                              <w:divBdr>
                                                <w:top w:val="none" w:sz="0" w:space="0" w:color="auto"/>
                                                <w:left w:val="single" w:sz="36" w:space="15" w:color="EEEEEE"/>
                                                <w:bottom w:val="none" w:sz="0" w:space="0" w:color="auto"/>
                                                <w:right w:val="none" w:sz="0" w:space="0" w:color="auto"/>
                                              </w:divBdr>
                                            </w:div>
                                            <w:div w:id="76673541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016930935">
                                                  <w:marLeft w:val="0"/>
                                                  <w:marRight w:val="0"/>
                                                  <w:marTop w:val="0"/>
                                                  <w:marBottom w:val="0"/>
                                                  <w:divBdr>
                                                    <w:top w:val="none" w:sz="0" w:space="0" w:color="auto"/>
                                                    <w:left w:val="none" w:sz="0" w:space="0" w:color="auto"/>
                                                    <w:bottom w:val="none" w:sz="0" w:space="0" w:color="auto"/>
                                                    <w:right w:val="none" w:sz="0" w:space="0" w:color="auto"/>
                                                  </w:divBdr>
                                                  <w:divsChild>
                                                    <w:div w:id="193262011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31731249">
                                                  <w:marLeft w:val="0"/>
                                                  <w:marRight w:val="0"/>
                                                  <w:marTop w:val="0"/>
                                                  <w:marBottom w:val="0"/>
                                                  <w:divBdr>
                                                    <w:top w:val="none" w:sz="0" w:space="0" w:color="auto"/>
                                                    <w:left w:val="none" w:sz="0" w:space="0" w:color="auto"/>
                                                    <w:bottom w:val="none" w:sz="0" w:space="0" w:color="auto"/>
                                                    <w:right w:val="none" w:sz="0" w:space="0" w:color="auto"/>
                                                  </w:divBdr>
                                                  <w:divsChild>
                                                    <w:div w:id="124892412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6680733">
      <w:bodyDiv w:val="1"/>
      <w:marLeft w:val="0"/>
      <w:marRight w:val="679"/>
      <w:marTop w:val="0"/>
      <w:marBottom w:val="0"/>
      <w:divBdr>
        <w:top w:val="none" w:sz="0" w:space="0" w:color="auto"/>
        <w:left w:val="none" w:sz="0" w:space="0" w:color="auto"/>
        <w:bottom w:val="none" w:sz="0" w:space="0" w:color="auto"/>
        <w:right w:val="none" w:sz="0" w:space="0" w:color="auto"/>
      </w:divBdr>
      <w:divsChild>
        <w:div w:id="1883710385">
          <w:marLeft w:val="0"/>
          <w:marRight w:val="0"/>
          <w:marTop w:val="0"/>
          <w:marBottom w:val="0"/>
          <w:divBdr>
            <w:top w:val="none" w:sz="0" w:space="0" w:color="auto"/>
            <w:left w:val="none" w:sz="0" w:space="0" w:color="auto"/>
            <w:bottom w:val="none" w:sz="0" w:space="0" w:color="auto"/>
            <w:right w:val="none" w:sz="0" w:space="0" w:color="auto"/>
          </w:divBdr>
          <w:divsChild>
            <w:div w:id="510343412">
              <w:marLeft w:val="0"/>
              <w:marRight w:val="0"/>
              <w:marTop w:val="0"/>
              <w:marBottom w:val="0"/>
              <w:divBdr>
                <w:top w:val="none" w:sz="0" w:space="0" w:color="auto"/>
                <w:left w:val="none" w:sz="0" w:space="0" w:color="auto"/>
                <w:bottom w:val="none" w:sz="0" w:space="0" w:color="auto"/>
                <w:right w:val="none" w:sz="0" w:space="0" w:color="auto"/>
              </w:divBdr>
              <w:divsChild>
                <w:div w:id="1500845462">
                  <w:marLeft w:val="0"/>
                  <w:marRight w:val="0"/>
                  <w:marTop w:val="0"/>
                  <w:marBottom w:val="0"/>
                  <w:divBdr>
                    <w:top w:val="none" w:sz="0" w:space="0" w:color="auto"/>
                    <w:left w:val="none" w:sz="0" w:space="0" w:color="auto"/>
                    <w:bottom w:val="none" w:sz="0" w:space="0" w:color="auto"/>
                    <w:right w:val="none" w:sz="0" w:space="0" w:color="auto"/>
                  </w:divBdr>
                  <w:divsChild>
                    <w:div w:id="685398775">
                      <w:marLeft w:val="-204"/>
                      <w:marRight w:val="-204"/>
                      <w:marTop w:val="0"/>
                      <w:marBottom w:val="0"/>
                      <w:divBdr>
                        <w:top w:val="none" w:sz="0" w:space="0" w:color="auto"/>
                        <w:left w:val="none" w:sz="0" w:space="0" w:color="auto"/>
                        <w:bottom w:val="none" w:sz="0" w:space="0" w:color="auto"/>
                        <w:right w:val="none" w:sz="0" w:space="0" w:color="auto"/>
                      </w:divBdr>
                      <w:divsChild>
                        <w:div w:id="571937274">
                          <w:marLeft w:val="0"/>
                          <w:marRight w:val="0"/>
                          <w:marTop w:val="0"/>
                          <w:marBottom w:val="0"/>
                          <w:divBdr>
                            <w:top w:val="none" w:sz="0" w:space="0" w:color="auto"/>
                            <w:left w:val="none" w:sz="0" w:space="0" w:color="auto"/>
                            <w:bottom w:val="none" w:sz="0" w:space="0" w:color="auto"/>
                            <w:right w:val="none" w:sz="0" w:space="0" w:color="auto"/>
                          </w:divBdr>
                          <w:divsChild>
                            <w:div w:id="2082748931">
                              <w:marLeft w:val="0"/>
                              <w:marRight w:val="0"/>
                              <w:marTop w:val="0"/>
                              <w:marBottom w:val="0"/>
                              <w:divBdr>
                                <w:top w:val="none" w:sz="0" w:space="0" w:color="auto"/>
                                <w:left w:val="none" w:sz="0" w:space="0" w:color="auto"/>
                                <w:bottom w:val="none" w:sz="0" w:space="0" w:color="auto"/>
                                <w:right w:val="none" w:sz="0" w:space="0" w:color="auto"/>
                              </w:divBdr>
                              <w:divsChild>
                                <w:div w:id="169224108">
                                  <w:marLeft w:val="0"/>
                                  <w:marRight w:val="0"/>
                                  <w:marTop w:val="0"/>
                                  <w:marBottom w:val="0"/>
                                  <w:divBdr>
                                    <w:top w:val="none" w:sz="0" w:space="0" w:color="auto"/>
                                    <w:left w:val="none" w:sz="0" w:space="0" w:color="auto"/>
                                    <w:bottom w:val="none" w:sz="0" w:space="0" w:color="auto"/>
                                    <w:right w:val="none" w:sz="0" w:space="0" w:color="auto"/>
                                  </w:divBdr>
                                  <w:divsChild>
                                    <w:div w:id="565843663">
                                      <w:marLeft w:val="0"/>
                                      <w:marRight w:val="0"/>
                                      <w:marTop w:val="0"/>
                                      <w:marBottom w:val="0"/>
                                      <w:divBdr>
                                        <w:top w:val="none" w:sz="0" w:space="0" w:color="auto"/>
                                        <w:left w:val="none" w:sz="0" w:space="0" w:color="auto"/>
                                        <w:bottom w:val="none" w:sz="0" w:space="0" w:color="auto"/>
                                        <w:right w:val="none" w:sz="0" w:space="0" w:color="auto"/>
                                      </w:divBdr>
                                      <w:divsChild>
                                        <w:div w:id="199498395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25925553">
                                              <w:blockQuote w:val="1"/>
                                              <w:marLeft w:val="0"/>
                                              <w:marRight w:val="0"/>
                                              <w:marTop w:val="0"/>
                                              <w:marBottom w:val="272"/>
                                              <w:divBdr>
                                                <w:top w:val="none" w:sz="0" w:space="0" w:color="auto"/>
                                                <w:left w:val="single" w:sz="24" w:space="14" w:color="EEEEEE"/>
                                                <w:bottom w:val="none" w:sz="0" w:space="0" w:color="auto"/>
                                                <w:right w:val="none" w:sz="0" w:space="0" w:color="auto"/>
                                              </w:divBdr>
                                            </w:div>
                                            <w:div w:id="64166506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59255368">
                                                  <w:marLeft w:val="0"/>
                                                  <w:marRight w:val="0"/>
                                                  <w:marTop w:val="0"/>
                                                  <w:marBottom w:val="0"/>
                                                  <w:divBdr>
                                                    <w:top w:val="none" w:sz="0" w:space="0" w:color="auto"/>
                                                    <w:left w:val="none" w:sz="0" w:space="0" w:color="auto"/>
                                                    <w:bottom w:val="none" w:sz="0" w:space="0" w:color="auto"/>
                                                    <w:right w:val="none" w:sz="0" w:space="0" w:color="auto"/>
                                                  </w:divBdr>
                                                  <w:divsChild>
                                                    <w:div w:id="101137667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092160429">
                                                          <w:marLeft w:val="0"/>
                                                          <w:marRight w:val="0"/>
                                                          <w:marTop w:val="0"/>
                                                          <w:marBottom w:val="0"/>
                                                          <w:divBdr>
                                                            <w:top w:val="none" w:sz="0" w:space="0" w:color="auto"/>
                                                            <w:left w:val="none" w:sz="0" w:space="0" w:color="auto"/>
                                                            <w:bottom w:val="none" w:sz="0" w:space="0" w:color="auto"/>
                                                            <w:right w:val="none" w:sz="0" w:space="0" w:color="auto"/>
                                                          </w:divBdr>
                                                          <w:divsChild>
                                                            <w:div w:id="147156010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254166036">
                                                          <w:marLeft w:val="0"/>
                                                          <w:marRight w:val="0"/>
                                                          <w:marTop w:val="0"/>
                                                          <w:marBottom w:val="0"/>
                                                          <w:divBdr>
                                                            <w:top w:val="none" w:sz="0" w:space="0" w:color="auto"/>
                                                            <w:left w:val="none" w:sz="0" w:space="0" w:color="auto"/>
                                                            <w:bottom w:val="none" w:sz="0" w:space="0" w:color="auto"/>
                                                            <w:right w:val="none" w:sz="0" w:space="0" w:color="auto"/>
                                                          </w:divBdr>
                                                          <w:divsChild>
                                                            <w:div w:id="204317042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904225236">
                                                          <w:marLeft w:val="0"/>
                                                          <w:marRight w:val="0"/>
                                                          <w:marTop w:val="0"/>
                                                          <w:marBottom w:val="0"/>
                                                          <w:divBdr>
                                                            <w:top w:val="none" w:sz="0" w:space="0" w:color="auto"/>
                                                            <w:left w:val="none" w:sz="0" w:space="0" w:color="auto"/>
                                                            <w:bottom w:val="none" w:sz="0" w:space="0" w:color="auto"/>
                                                            <w:right w:val="none" w:sz="0" w:space="0" w:color="auto"/>
                                                          </w:divBdr>
                                                          <w:divsChild>
                                                            <w:div w:id="287706224">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381706363">
                                                          <w:marLeft w:val="0"/>
                                                          <w:marRight w:val="0"/>
                                                          <w:marTop w:val="0"/>
                                                          <w:marBottom w:val="0"/>
                                                          <w:divBdr>
                                                            <w:top w:val="none" w:sz="0" w:space="0" w:color="auto"/>
                                                            <w:left w:val="none" w:sz="0" w:space="0" w:color="auto"/>
                                                            <w:bottom w:val="none" w:sz="0" w:space="0" w:color="auto"/>
                                                            <w:right w:val="none" w:sz="0" w:space="0" w:color="auto"/>
                                                          </w:divBdr>
                                                          <w:divsChild>
                                                            <w:div w:id="97363313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 w:id="1636061511">
                                                  <w:marLeft w:val="0"/>
                                                  <w:marRight w:val="0"/>
                                                  <w:marTop w:val="0"/>
                                                  <w:marBottom w:val="0"/>
                                                  <w:divBdr>
                                                    <w:top w:val="none" w:sz="0" w:space="0" w:color="auto"/>
                                                    <w:left w:val="none" w:sz="0" w:space="0" w:color="auto"/>
                                                    <w:bottom w:val="none" w:sz="0" w:space="0" w:color="auto"/>
                                                    <w:right w:val="none" w:sz="0" w:space="0" w:color="auto"/>
                                                  </w:divBdr>
                                                  <w:divsChild>
                                                    <w:div w:id="82404989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036990">
      <w:bodyDiv w:val="1"/>
      <w:marLeft w:val="0"/>
      <w:marRight w:val="679"/>
      <w:marTop w:val="0"/>
      <w:marBottom w:val="0"/>
      <w:divBdr>
        <w:top w:val="none" w:sz="0" w:space="0" w:color="auto"/>
        <w:left w:val="none" w:sz="0" w:space="0" w:color="auto"/>
        <w:bottom w:val="none" w:sz="0" w:space="0" w:color="auto"/>
        <w:right w:val="none" w:sz="0" w:space="0" w:color="auto"/>
      </w:divBdr>
      <w:divsChild>
        <w:div w:id="982856740">
          <w:marLeft w:val="0"/>
          <w:marRight w:val="0"/>
          <w:marTop w:val="0"/>
          <w:marBottom w:val="0"/>
          <w:divBdr>
            <w:top w:val="none" w:sz="0" w:space="0" w:color="auto"/>
            <w:left w:val="none" w:sz="0" w:space="0" w:color="auto"/>
            <w:bottom w:val="none" w:sz="0" w:space="0" w:color="auto"/>
            <w:right w:val="none" w:sz="0" w:space="0" w:color="auto"/>
          </w:divBdr>
          <w:divsChild>
            <w:div w:id="1133133970">
              <w:marLeft w:val="0"/>
              <w:marRight w:val="0"/>
              <w:marTop w:val="0"/>
              <w:marBottom w:val="0"/>
              <w:divBdr>
                <w:top w:val="none" w:sz="0" w:space="0" w:color="auto"/>
                <w:left w:val="none" w:sz="0" w:space="0" w:color="auto"/>
                <w:bottom w:val="none" w:sz="0" w:space="0" w:color="auto"/>
                <w:right w:val="none" w:sz="0" w:space="0" w:color="auto"/>
              </w:divBdr>
              <w:divsChild>
                <w:div w:id="1549681607">
                  <w:marLeft w:val="0"/>
                  <w:marRight w:val="0"/>
                  <w:marTop w:val="0"/>
                  <w:marBottom w:val="0"/>
                  <w:divBdr>
                    <w:top w:val="none" w:sz="0" w:space="0" w:color="auto"/>
                    <w:left w:val="none" w:sz="0" w:space="0" w:color="auto"/>
                    <w:bottom w:val="none" w:sz="0" w:space="0" w:color="auto"/>
                    <w:right w:val="none" w:sz="0" w:space="0" w:color="auto"/>
                  </w:divBdr>
                  <w:divsChild>
                    <w:div w:id="344286077">
                      <w:marLeft w:val="-204"/>
                      <w:marRight w:val="-204"/>
                      <w:marTop w:val="0"/>
                      <w:marBottom w:val="0"/>
                      <w:divBdr>
                        <w:top w:val="none" w:sz="0" w:space="0" w:color="auto"/>
                        <w:left w:val="none" w:sz="0" w:space="0" w:color="auto"/>
                        <w:bottom w:val="none" w:sz="0" w:space="0" w:color="auto"/>
                        <w:right w:val="none" w:sz="0" w:space="0" w:color="auto"/>
                      </w:divBdr>
                      <w:divsChild>
                        <w:div w:id="302855699">
                          <w:marLeft w:val="0"/>
                          <w:marRight w:val="0"/>
                          <w:marTop w:val="0"/>
                          <w:marBottom w:val="0"/>
                          <w:divBdr>
                            <w:top w:val="none" w:sz="0" w:space="0" w:color="auto"/>
                            <w:left w:val="none" w:sz="0" w:space="0" w:color="auto"/>
                            <w:bottom w:val="none" w:sz="0" w:space="0" w:color="auto"/>
                            <w:right w:val="none" w:sz="0" w:space="0" w:color="auto"/>
                          </w:divBdr>
                          <w:divsChild>
                            <w:div w:id="1148398789">
                              <w:marLeft w:val="0"/>
                              <w:marRight w:val="0"/>
                              <w:marTop w:val="0"/>
                              <w:marBottom w:val="0"/>
                              <w:divBdr>
                                <w:top w:val="none" w:sz="0" w:space="0" w:color="auto"/>
                                <w:left w:val="none" w:sz="0" w:space="0" w:color="auto"/>
                                <w:bottom w:val="none" w:sz="0" w:space="0" w:color="auto"/>
                                <w:right w:val="none" w:sz="0" w:space="0" w:color="auto"/>
                              </w:divBdr>
                              <w:divsChild>
                                <w:div w:id="985352262">
                                  <w:marLeft w:val="0"/>
                                  <w:marRight w:val="0"/>
                                  <w:marTop w:val="0"/>
                                  <w:marBottom w:val="0"/>
                                  <w:divBdr>
                                    <w:top w:val="none" w:sz="0" w:space="0" w:color="auto"/>
                                    <w:left w:val="none" w:sz="0" w:space="0" w:color="auto"/>
                                    <w:bottom w:val="none" w:sz="0" w:space="0" w:color="auto"/>
                                    <w:right w:val="none" w:sz="0" w:space="0" w:color="auto"/>
                                  </w:divBdr>
                                  <w:divsChild>
                                    <w:div w:id="1724791116">
                                      <w:marLeft w:val="0"/>
                                      <w:marRight w:val="0"/>
                                      <w:marTop w:val="0"/>
                                      <w:marBottom w:val="0"/>
                                      <w:divBdr>
                                        <w:top w:val="none" w:sz="0" w:space="0" w:color="auto"/>
                                        <w:left w:val="none" w:sz="0" w:space="0" w:color="auto"/>
                                        <w:bottom w:val="none" w:sz="0" w:space="0" w:color="auto"/>
                                        <w:right w:val="none" w:sz="0" w:space="0" w:color="auto"/>
                                      </w:divBdr>
                                      <w:divsChild>
                                        <w:div w:id="1041588680">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04032505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886258243">
                                                  <w:marLeft w:val="0"/>
                                                  <w:marRight w:val="0"/>
                                                  <w:marTop w:val="0"/>
                                                  <w:marBottom w:val="0"/>
                                                  <w:divBdr>
                                                    <w:top w:val="none" w:sz="0" w:space="0" w:color="auto"/>
                                                    <w:left w:val="none" w:sz="0" w:space="0" w:color="auto"/>
                                                    <w:bottom w:val="none" w:sz="0" w:space="0" w:color="auto"/>
                                                    <w:right w:val="none" w:sz="0" w:space="0" w:color="auto"/>
                                                  </w:divBdr>
                                                  <w:divsChild>
                                                    <w:div w:id="44836928">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369762482">
                                                  <w:marLeft w:val="0"/>
                                                  <w:marRight w:val="0"/>
                                                  <w:marTop w:val="0"/>
                                                  <w:marBottom w:val="0"/>
                                                  <w:divBdr>
                                                    <w:top w:val="none" w:sz="0" w:space="0" w:color="auto"/>
                                                    <w:left w:val="none" w:sz="0" w:space="0" w:color="auto"/>
                                                    <w:bottom w:val="none" w:sz="0" w:space="0" w:color="auto"/>
                                                    <w:right w:val="none" w:sz="0" w:space="0" w:color="auto"/>
                                                  </w:divBdr>
                                                  <w:divsChild>
                                                    <w:div w:id="857423440">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604915533">
                                                  <w:marLeft w:val="0"/>
                                                  <w:marRight w:val="0"/>
                                                  <w:marTop w:val="0"/>
                                                  <w:marBottom w:val="0"/>
                                                  <w:divBdr>
                                                    <w:top w:val="none" w:sz="0" w:space="0" w:color="auto"/>
                                                    <w:left w:val="none" w:sz="0" w:space="0" w:color="auto"/>
                                                    <w:bottom w:val="none" w:sz="0" w:space="0" w:color="auto"/>
                                                    <w:right w:val="none" w:sz="0" w:space="0" w:color="auto"/>
                                                  </w:divBdr>
                                                  <w:divsChild>
                                                    <w:div w:id="1826700882">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319562">
      <w:bodyDiv w:val="1"/>
      <w:marLeft w:val="0"/>
      <w:marRight w:val="750"/>
      <w:marTop w:val="0"/>
      <w:marBottom w:val="0"/>
      <w:divBdr>
        <w:top w:val="none" w:sz="0" w:space="0" w:color="auto"/>
        <w:left w:val="none" w:sz="0" w:space="0" w:color="auto"/>
        <w:bottom w:val="none" w:sz="0" w:space="0" w:color="auto"/>
        <w:right w:val="none" w:sz="0" w:space="0" w:color="auto"/>
      </w:divBdr>
      <w:divsChild>
        <w:div w:id="43719647">
          <w:marLeft w:val="0"/>
          <w:marRight w:val="0"/>
          <w:marTop w:val="0"/>
          <w:marBottom w:val="0"/>
          <w:divBdr>
            <w:top w:val="none" w:sz="0" w:space="0" w:color="auto"/>
            <w:left w:val="none" w:sz="0" w:space="0" w:color="auto"/>
            <w:bottom w:val="none" w:sz="0" w:space="0" w:color="auto"/>
            <w:right w:val="none" w:sz="0" w:space="0" w:color="auto"/>
          </w:divBdr>
          <w:divsChild>
            <w:div w:id="464812050">
              <w:marLeft w:val="0"/>
              <w:marRight w:val="0"/>
              <w:marTop w:val="0"/>
              <w:marBottom w:val="0"/>
              <w:divBdr>
                <w:top w:val="none" w:sz="0" w:space="0" w:color="auto"/>
                <w:left w:val="none" w:sz="0" w:space="0" w:color="auto"/>
                <w:bottom w:val="none" w:sz="0" w:space="0" w:color="auto"/>
                <w:right w:val="none" w:sz="0" w:space="0" w:color="auto"/>
              </w:divBdr>
              <w:divsChild>
                <w:div w:id="1676685102">
                  <w:marLeft w:val="0"/>
                  <w:marRight w:val="0"/>
                  <w:marTop w:val="0"/>
                  <w:marBottom w:val="0"/>
                  <w:divBdr>
                    <w:top w:val="none" w:sz="0" w:space="0" w:color="auto"/>
                    <w:left w:val="none" w:sz="0" w:space="0" w:color="auto"/>
                    <w:bottom w:val="none" w:sz="0" w:space="0" w:color="auto"/>
                    <w:right w:val="none" w:sz="0" w:space="0" w:color="auto"/>
                  </w:divBdr>
                  <w:divsChild>
                    <w:div w:id="167444753">
                      <w:marLeft w:val="-225"/>
                      <w:marRight w:val="-225"/>
                      <w:marTop w:val="0"/>
                      <w:marBottom w:val="0"/>
                      <w:divBdr>
                        <w:top w:val="none" w:sz="0" w:space="0" w:color="auto"/>
                        <w:left w:val="none" w:sz="0" w:space="0" w:color="auto"/>
                        <w:bottom w:val="none" w:sz="0" w:space="0" w:color="auto"/>
                        <w:right w:val="none" w:sz="0" w:space="0" w:color="auto"/>
                      </w:divBdr>
                      <w:divsChild>
                        <w:div w:id="1609120615">
                          <w:marLeft w:val="0"/>
                          <w:marRight w:val="0"/>
                          <w:marTop w:val="0"/>
                          <w:marBottom w:val="0"/>
                          <w:divBdr>
                            <w:top w:val="none" w:sz="0" w:space="0" w:color="auto"/>
                            <w:left w:val="none" w:sz="0" w:space="0" w:color="auto"/>
                            <w:bottom w:val="none" w:sz="0" w:space="0" w:color="auto"/>
                            <w:right w:val="none" w:sz="0" w:space="0" w:color="auto"/>
                          </w:divBdr>
                          <w:divsChild>
                            <w:div w:id="984358536">
                              <w:marLeft w:val="0"/>
                              <w:marRight w:val="0"/>
                              <w:marTop w:val="0"/>
                              <w:marBottom w:val="0"/>
                              <w:divBdr>
                                <w:top w:val="none" w:sz="0" w:space="0" w:color="auto"/>
                                <w:left w:val="none" w:sz="0" w:space="0" w:color="auto"/>
                                <w:bottom w:val="none" w:sz="0" w:space="0" w:color="auto"/>
                                <w:right w:val="none" w:sz="0" w:space="0" w:color="auto"/>
                              </w:divBdr>
                              <w:divsChild>
                                <w:div w:id="1909805720">
                                  <w:marLeft w:val="0"/>
                                  <w:marRight w:val="0"/>
                                  <w:marTop w:val="0"/>
                                  <w:marBottom w:val="0"/>
                                  <w:divBdr>
                                    <w:top w:val="none" w:sz="0" w:space="0" w:color="auto"/>
                                    <w:left w:val="none" w:sz="0" w:space="0" w:color="auto"/>
                                    <w:bottom w:val="none" w:sz="0" w:space="0" w:color="auto"/>
                                    <w:right w:val="none" w:sz="0" w:space="0" w:color="auto"/>
                                  </w:divBdr>
                                  <w:divsChild>
                                    <w:div w:id="96566300">
                                      <w:marLeft w:val="0"/>
                                      <w:marRight w:val="0"/>
                                      <w:marTop w:val="0"/>
                                      <w:marBottom w:val="0"/>
                                      <w:divBdr>
                                        <w:top w:val="none" w:sz="0" w:space="0" w:color="auto"/>
                                        <w:left w:val="none" w:sz="0" w:space="0" w:color="auto"/>
                                        <w:bottom w:val="none" w:sz="0" w:space="0" w:color="auto"/>
                                        <w:right w:val="none" w:sz="0" w:space="0" w:color="auto"/>
                                      </w:divBdr>
                                      <w:divsChild>
                                        <w:div w:id="30856249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42025618">
                                              <w:marLeft w:val="0"/>
                                              <w:marRight w:val="0"/>
                                              <w:marTop w:val="0"/>
                                              <w:marBottom w:val="0"/>
                                              <w:divBdr>
                                                <w:top w:val="none" w:sz="0" w:space="0" w:color="auto"/>
                                                <w:left w:val="none" w:sz="0" w:space="0" w:color="auto"/>
                                                <w:bottom w:val="none" w:sz="0" w:space="0" w:color="auto"/>
                                                <w:right w:val="none" w:sz="0" w:space="0" w:color="auto"/>
                                              </w:divBdr>
                                              <w:divsChild>
                                                <w:div w:id="60084374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60689323">
                                              <w:marLeft w:val="0"/>
                                              <w:marRight w:val="0"/>
                                              <w:marTop w:val="0"/>
                                              <w:marBottom w:val="0"/>
                                              <w:divBdr>
                                                <w:top w:val="none" w:sz="0" w:space="0" w:color="auto"/>
                                                <w:left w:val="none" w:sz="0" w:space="0" w:color="auto"/>
                                                <w:bottom w:val="none" w:sz="0" w:space="0" w:color="auto"/>
                                                <w:right w:val="none" w:sz="0" w:space="0" w:color="auto"/>
                                              </w:divBdr>
                                              <w:divsChild>
                                                <w:div w:id="78115011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2047341">
      <w:bodyDiv w:val="1"/>
      <w:marLeft w:val="0"/>
      <w:marRight w:val="750"/>
      <w:marTop w:val="0"/>
      <w:marBottom w:val="0"/>
      <w:divBdr>
        <w:top w:val="none" w:sz="0" w:space="0" w:color="auto"/>
        <w:left w:val="none" w:sz="0" w:space="0" w:color="auto"/>
        <w:bottom w:val="none" w:sz="0" w:space="0" w:color="auto"/>
        <w:right w:val="none" w:sz="0" w:space="0" w:color="auto"/>
      </w:divBdr>
      <w:divsChild>
        <w:div w:id="972102940">
          <w:marLeft w:val="0"/>
          <w:marRight w:val="0"/>
          <w:marTop w:val="0"/>
          <w:marBottom w:val="0"/>
          <w:divBdr>
            <w:top w:val="none" w:sz="0" w:space="0" w:color="auto"/>
            <w:left w:val="none" w:sz="0" w:space="0" w:color="auto"/>
            <w:bottom w:val="none" w:sz="0" w:space="0" w:color="auto"/>
            <w:right w:val="none" w:sz="0" w:space="0" w:color="auto"/>
          </w:divBdr>
          <w:divsChild>
            <w:div w:id="1288928820">
              <w:marLeft w:val="0"/>
              <w:marRight w:val="0"/>
              <w:marTop w:val="0"/>
              <w:marBottom w:val="0"/>
              <w:divBdr>
                <w:top w:val="none" w:sz="0" w:space="0" w:color="auto"/>
                <w:left w:val="none" w:sz="0" w:space="0" w:color="auto"/>
                <w:bottom w:val="none" w:sz="0" w:space="0" w:color="auto"/>
                <w:right w:val="none" w:sz="0" w:space="0" w:color="auto"/>
              </w:divBdr>
              <w:divsChild>
                <w:div w:id="1654795202">
                  <w:marLeft w:val="0"/>
                  <w:marRight w:val="0"/>
                  <w:marTop w:val="0"/>
                  <w:marBottom w:val="0"/>
                  <w:divBdr>
                    <w:top w:val="none" w:sz="0" w:space="0" w:color="auto"/>
                    <w:left w:val="none" w:sz="0" w:space="0" w:color="auto"/>
                    <w:bottom w:val="none" w:sz="0" w:space="0" w:color="auto"/>
                    <w:right w:val="none" w:sz="0" w:space="0" w:color="auto"/>
                  </w:divBdr>
                  <w:divsChild>
                    <w:div w:id="1018968617">
                      <w:marLeft w:val="-225"/>
                      <w:marRight w:val="-225"/>
                      <w:marTop w:val="0"/>
                      <w:marBottom w:val="0"/>
                      <w:divBdr>
                        <w:top w:val="none" w:sz="0" w:space="0" w:color="auto"/>
                        <w:left w:val="none" w:sz="0" w:space="0" w:color="auto"/>
                        <w:bottom w:val="none" w:sz="0" w:space="0" w:color="auto"/>
                        <w:right w:val="none" w:sz="0" w:space="0" w:color="auto"/>
                      </w:divBdr>
                      <w:divsChild>
                        <w:div w:id="2098938299">
                          <w:marLeft w:val="0"/>
                          <w:marRight w:val="0"/>
                          <w:marTop w:val="0"/>
                          <w:marBottom w:val="0"/>
                          <w:divBdr>
                            <w:top w:val="none" w:sz="0" w:space="0" w:color="auto"/>
                            <w:left w:val="none" w:sz="0" w:space="0" w:color="auto"/>
                            <w:bottom w:val="none" w:sz="0" w:space="0" w:color="auto"/>
                            <w:right w:val="none" w:sz="0" w:space="0" w:color="auto"/>
                          </w:divBdr>
                          <w:divsChild>
                            <w:div w:id="1068650922">
                              <w:marLeft w:val="0"/>
                              <w:marRight w:val="0"/>
                              <w:marTop w:val="0"/>
                              <w:marBottom w:val="0"/>
                              <w:divBdr>
                                <w:top w:val="none" w:sz="0" w:space="0" w:color="auto"/>
                                <w:left w:val="none" w:sz="0" w:space="0" w:color="auto"/>
                                <w:bottom w:val="none" w:sz="0" w:space="0" w:color="auto"/>
                                <w:right w:val="none" w:sz="0" w:space="0" w:color="auto"/>
                              </w:divBdr>
                              <w:divsChild>
                                <w:div w:id="216549459">
                                  <w:marLeft w:val="0"/>
                                  <w:marRight w:val="0"/>
                                  <w:marTop w:val="0"/>
                                  <w:marBottom w:val="0"/>
                                  <w:divBdr>
                                    <w:top w:val="none" w:sz="0" w:space="0" w:color="auto"/>
                                    <w:left w:val="none" w:sz="0" w:space="0" w:color="auto"/>
                                    <w:bottom w:val="none" w:sz="0" w:space="0" w:color="auto"/>
                                    <w:right w:val="none" w:sz="0" w:space="0" w:color="auto"/>
                                  </w:divBdr>
                                  <w:divsChild>
                                    <w:div w:id="1972902300">
                                      <w:marLeft w:val="0"/>
                                      <w:marRight w:val="0"/>
                                      <w:marTop w:val="0"/>
                                      <w:marBottom w:val="0"/>
                                      <w:divBdr>
                                        <w:top w:val="none" w:sz="0" w:space="0" w:color="auto"/>
                                        <w:left w:val="none" w:sz="0" w:space="0" w:color="auto"/>
                                        <w:bottom w:val="none" w:sz="0" w:space="0" w:color="auto"/>
                                        <w:right w:val="none" w:sz="0" w:space="0" w:color="auto"/>
                                      </w:divBdr>
                                      <w:divsChild>
                                        <w:div w:id="161042570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67613685">
                                              <w:blockQuote w:val="1"/>
                                              <w:marLeft w:val="0"/>
                                              <w:marRight w:val="0"/>
                                              <w:marTop w:val="0"/>
                                              <w:marBottom w:val="300"/>
                                              <w:divBdr>
                                                <w:top w:val="none" w:sz="0" w:space="0" w:color="auto"/>
                                                <w:left w:val="single" w:sz="36" w:space="15" w:color="EEEEEE"/>
                                                <w:bottom w:val="none" w:sz="0" w:space="0" w:color="auto"/>
                                                <w:right w:val="none" w:sz="0" w:space="0" w:color="auto"/>
                                              </w:divBdr>
                                            </w:div>
                                            <w:div w:id="94641021">
                                              <w:blockQuote w:val="1"/>
                                              <w:marLeft w:val="0"/>
                                              <w:marRight w:val="0"/>
                                              <w:marTop w:val="0"/>
                                              <w:marBottom w:val="300"/>
                                              <w:divBdr>
                                                <w:top w:val="none" w:sz="0" w:space="0" w:color="auto"/>
                                                <w:left w:val="single" w:sz="36" w:space="15" w:color="EEEEEE"/>
                                                <w:bottom w:val="none" w:sz="0" w:space="0" w:color="auto"/>
                                                <w:right w:val="none" w:sz="0" w:space="0" w:color="auto"/>
                                              </w:divBdr>
                                            </w:div>
                                            <w:div w:id="45738159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1516113863">
      <w:bodyDiv w:val="1"/>
      <w:marLeft w:val="0"/>
      <w:marRight w:val="750"/>
      <w:marTop w:val="0"/>
      <w:marBottom w:val="0"/>
      <w:divBdr>
        <w:top w:val="none" w:sz="0" w:space="0" w:color="auto"/>
        <w:left w:val="none" w:sz="0" w:space="0" w:color="auto"/>
        <w:bottom w:val="none" w:sz="0" w:space="0" w:color="auto"/>
        <w:right w:val="none" w:sz="0" w:space="0" w:color="auto"/>
      </w:divBdr>
      <w:divsChild>
        <w:div w:id="1796480415">
          <w:marLeft w:val="0"/>
          <w:marRight w:val="0"/>
          <w:marTop w:val="0"/>
          <w:marBottom w:val="0"/>
          <w:divBdr>
            <w:top w:val="none" w:sz="0" w:space="0" w:color="auto"/>
            <w:left w:val="none" w:sz="0" w:space="0" w:color="auto"/>
            <w:bottom w:val="none" w:sz="0" w:space="0" w:color="auto"/>
            <w:right w:val="none" w:sz="0" w:space="0" w:color="auto"/>
          </w:divBdr>
          <w:divsChild>
            <w:div w:id="2100443389">
              <w:marLeft w:val="0"/>
              <w:marRight w:val="0"/>
              <w:marTop w:val="0"/>
              <w:marBottom w:val="0"/>
              <w:divBdr>
                <w:top w:val="none" w:sz="0" w:space="0" w:color="auto"/>
                <w:left w:val="none" w:sz="0" w:space="0" w:color="auto"/>
                <w:bottom w:val="none" w:sz="0" w:space="0" w:color="auto"/>
                <w:right w:val="none" w:sz="0" w:space="0" w:color="auto"/>
              </w:divBdr>
              <w:divsChild>
                <w:div w:id="869076943">
                  <w:marLeft w:val="0"/>
                  <w:marRight w:val="0"/>
                  <w:marTop w:val="0"/>
                  <w:marBottom w:val="0"/>
                  <w:divBdr>
                    <w:top w:val="none" w:sz="0" w:space="0" w:color="auto"/>
                    <w:left w:val="none" w:sz="0" w:space="0" w:color="auto"/>
                    <w:bottom w:val="none" w:sz="0" w:space="0" w:color="auto"/>
                    <w:right w:val="none" w:sz="0" w:space="0" w:color="auto"/>
                  </w:divBdr>
                  <w:divsChild>
                    <w:div w:id="1865706098">
                      <w:marLeft w:val="-225"/>
                      <w:marRight w:val="-225"/>
                      <w:marTop w:val="0"/>
                      <w:marBottom w:val="0"/>
                      <w:divBdr>
                        <w:top w:val="none" w:sz="0" w:space="0" w:color="auto"/>
                        <w:left w:val="none" w:sz="0" w:space="0" w:color="auto"/>
                        <w:bottom w:val="none" w:sz="0" w:space="0" w:color="auto"/>
                        <w:right w:val="none" w:sz="0" w:space="0" w:color="auto"/>
                      </w:divBdr>
                      <w:divsChild>
                        <w:div w:id="119541707">
                          <w:marLeft w:val="0"/>
                          <w:marRight w:val="0"/>
                          <w:marTop w:val="0"/>
                          <w:marBottom w:val="0"/>
                          <w:divBdr>
                            <w:top w:val="none" w:sz="0" w:space="0" w:color="auto"/>
                            <w:left w:val="none" w:sz="0" w:space="0" w:color="auto"/>
                            <w:bottom w:val="none" w:sz="0" w:space="0" w:color="auto"/>
                            <w:right w:val="none" w:sz="0" w:space="0" w:color="auto"/>
                          </w:divBdr>
                          <w:divsChild>
                            <w:div w:id="683676340">
                              <w:marLeft w:val="0"/>
                              <w:marRight w:val="0"/>
                              <w:marTop w:val="0"/>
                              <w:marBottom w:val="0"/>
                              <w:divBdr>
                                <w:top w:val="none" w:sz="0" w:space="0" w:color="auto"/>
                                <w:left w:val="none" w:sz="0" w:space="0" w:color="auto"/>
                                <w:bottom w:val="none" w:sz="0" w:space="0" w:color="auto"/>
                                <w:right w:val="none" w:sz="0" w:space="0" w:color="auto"/>
                              </w:divBdr>
                              <w:divsChild>
                                <w:div w:id="1515806851">
                                  <w:marLeft w:val="0"/>
                                  <w:marRight w:val="0"/>
                                  <w:marTop w:val="0"/>
                                  <w:marBottom w:val="0"/>
                                  <w:divBdr>
                                    <w:top w:val="none" w:sz="0" w:space="0" w:color="auto"/>
                                    <w:left w:val="none" w:sz="0" w:space="0" w:color="auto"/>
                                    <w:bottom w:val="none" w:sz="0" w:space="0" w:color="auto"/>
                                    <w:right w:val="none" w:sz="0" w:space="0" w:color="auto"/>
                                  </w:divBdr>
                                  <w:divsChild>
                                    <w:div w:id="405811189">
                                      <w:marLeft w:val="0"/>
                                      <w:marRight w:val="0"/>
                                      <w:marTop w:val="0"/>
                                      <w:marBottom w:val="0"/>
                                      <w:divBdr>
                                        <w:top w:val="none" w:sz="0" w:space="0" w:color="auto"/>
                                        <w:left w:val="none" w:sz="0" w:space="0" w:color="auto"/>
                                        <w:bottom w:val="none" w:sz="0" w:space="0" w:color="auto"/>
                                        <w:right w:val="none" w:sz="0" w:space="0" w:color="auto"/>
                                      </w:divBdr>
                                      <w:divsChild>
                                        <w:div w:id="125909368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764572738">
                                              <w:blockQuote w:val="1"/>
                                              <w:marLeft w:val="0"/>
                                              <w:marRight w:val="0"/>
                                              <w:marTop w:val="0"/>
                                              <w:marBottom w:val="300"/>
                                              <w:divBdr>
                                                <w:top w:val="none" w:sz="0" w:space="0" w:color="auto"/>
                                                <w:left w:val="single" w:sz="36" w:space="15" w:color="EEEEEE"/>
                                                <w:bottom w:val="none" w:sz="0" w:space="0" w:color="auto"/>
                                                <w:right w:val="none" w:sz="0" w:space="0" w:color="auto"/>
                                              </w:divBdr>
                                            </w:div>
                                            <w:div w:id="11498112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093163817">
                                                  <w:marLeft w:val="0"/>
                                                  <w:marRight w:val="0"/>
                                                  <w:marTop w:val="0"/>
                                                  <w:marBottom w:val="0"/>
                                                  <w:divBdr>
                                                    <w:top w:val="none" w:sz="0" w:space="0" w:color="auto"/>
                                                    <w:left w:val="none" w:sz="0" w:space="0" w:color="auto"/>
                                                    <w:bottom w:val="none" w:sz="0" w:space="0" w:color="auto"/>
                                                    <w:right w:val="none" w:sz="0" w:space="0" w:color="auto"/>
                                                  </w:divBdr>
                                                  <w:divsChild>
                                                    <w:div w:id="198685895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14405203">
                                                  <w:marLeft w:val="0"/>
                                                  <w:marRight w:val="0"/>
                                                  <w:marTop w:val="0"/>
                                                  <w:marBottom w:val="0"/>
                                                  <w:divBdr>
                                                    <w:top w:val="none" w:sz="0" w:space="0" w:color="auto"/>
                                                    <w:left w:val="none" w:sz="0" w:space="0" w:color="auto"/>
                                                    <w:bottom w:val="none" w:sz="0" w:space="0" w:color="auto"/>
                                                    <w:right w:val="none" w:sz="0" w:space="0" w:color="auto"/>
                                                  </w:divBdr>
                                                  <w:divsChild>
                                                    <w:div w:id="63834318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90434227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74267501">
                                                  <w:marLeft w:val="0"/>
                                                  <w:marRight w:val="0"/>
                                                  <w:marTop w:val="0"/>
                                                  <w:marBottom w:val="0"/>
                                                  <w:divBdr>
                                                    <w:top w:val="none" w:sz="0" w:space="0" w:color="auto"/>
                                                    <w:left w:val="none" w:sz="0" w:space="0" w:color="auto"/>
                                                    <w:bottom w:val="none" w:sz="0" w:space="0" w:color="auto"/>
                                                    <w:right w:val="none" w:sz="0" w:space="0" w:color="auto"/>
                                                  </w:divBdr>
                                                  <w:divsChild>
                                                    <w:div w:id="86012285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84710853">
                                                  <w:marLeft w:val="0"/>
                                                  <w:marRight w:val="0"/>
                                                  <w:marTop w:val="0"/>
                                                  <w:marBottom w:val="0"/>
                                                  <w:divBdr>
                                                    <w:top w:val="none" w:sz="0" w:space="0" w:color="auto"/>
                                                    <w:left w:val="none" w:sz="0" w:space="0" w:color="auto"/>
                                                    <w:bottom w:val="none" w:sz="0" w:space="0" w:color="auto"/>
                                                    <w:right w:val="none" w:sz="0" w:space="0" w:color="auto"/>
                                                  </w:divBdr>
                                                  <w:divsChild>
                                                    <w:div w:id="43247580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07817166">
                                                  <w:marLeft w:val="0"/>
                                                  <w:marRight w:val="0"/>
                                                  <w:marTop w:val="0"/>
                                                  <w:marBottom w:val="0"/>
                                                  <w:divBdr>
                                                    <w:top w:val="none" w:sz="0" w:space="0" w:color="auto"/>
                                                    <w:left w:val="none" w:sz="0" w:space="0" w:color="auto"/>
                                                    <w:bottom w:val="none" w:sz="0" w:space="0" w:color="auto"/>
                                                    <w:right w:val="none" w:sz="0" w:space="0" w:color="auto"/>
                                                  </w:divBdr>
                                                  <w:divsChild>
                                                    <w:div w:id="45128826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5851140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518499311">
                                                  <w:marLeft w:val="0"/>
                                                  <w:marRight w:val="0"/>
                                                  <w:marTop w:val="0"/>
                                                  <w:marBottom w:val="0"/>
                                                  <w:divBdr>
                                                    <w:top w:val="none" w:sz="0" w:space="0" w:color="auto"/>
                                                    <w:left w:val="none" w:sz="0" w:space="0" w:color="auto"/>
                                                    <w:bottom w:val="none" w:sz="0" w:space="0" w:color="auto"/>
                                                    <w:right w:val="none" w:sz="0" w:space="0" w:color="auto"/>
                                                  </w:divBdr>
                                                  <w:divsChild>
                                                    <w:div w:id="106109679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08158254">
                                                  <w:marLeft w:val="0"/>
                                                  <w:marRight w:val="0"/>
                                                  <w:marTop w:val="0"/>
                                                  <w:marBottom w:val="0"/>
                                                  <w:divBdr>
                                                    <w:top w:val="none" w:sz="0" w:space="0" w:color="auto"/>
                                                    <w:left w:val="none" w:sz="0" w:space="0" w:color="auto"/>
                                                    <w:bottom w:val="none" w:sz="0" w:space="0" w:color="auto"/>
                                                    <w:right w:val="none" w:sz="0" w:space="0" w:color="auto"/>
                                                  </w:divBdr>
                                                  <w:divsChild>
                                                    <w:div w:id="207234444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30816432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932394497">
                                                  <w:marLeft w:val="0"/>
                                                  <w:marRight w:val="0"/>
                                                  <w:marTop w:val="0"/>
                                                  <w:marBottom w:val="0"/>
                                                  <w:divBdr>
                                                    <w:top w:val="none" w:sz="0" w:space="0" w:color="auto"/>
                                                    <w:left w:val="none" w:sz="0" w:space="0" w:color="auto"/>
                                                    <w:bottom w:val="none" w:sz="0" w:space="0" w:color="auto"/>
                                                    <w:right w:val="none" w:sz="0" w:space="0" w:color="auto"/>
                                                  </w:divBdr>
                                                  <w:divsChild>
                                                    <w:div w:id="125778472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92319935">
                                                  <w:marLeft w:val="0"/>
                                                  <w:marRight w:val="0"/>
                                                  <w:marTop w:val="0"/>
                                                  <w:marBottom w:val="0"/>
                                                  <w:divBdr>
                                                    <w:top w:val="none" w:sz="0" w:space="0" w:color="auto"/>
                                                    <w:left w:val="none" w:sz="0" w:space="0" w:color="auto"/>
                                                    <w:bottom w:val="none" w:sz="0" w:space="0" w:color="auto"/>
                                                    <w:right w:val="none" w:sz="0" w:space="0" w:color="auto"/>
                                                  </w:divBdr>
                                                  <w:divsChild>
                                                    <w:div w:id="46997904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60362612">
                                              <w:blockQuote w:val="1"/>
                                              <w:marLeft w:val="0"/>
                                              <w:marRight w:val="0"/>
                                              <w:marTop w:val="0"/>
                                              <w:marBottom w:val="300"/>
                                              <w:divBdr>
                                                <w:top w:val="none" w:sz="0" w:space="0" w:color="auto"/>
                                                <w:left w:val="single" w:sz="36" w:space="15" w:color="EEEEEE"/>
                                                <w:bottom w:val="none" w:sz="0" w:space="0" w:color="auto"/>
                                                <w:right w:val="none" w:sz="0" w:space="0" w:color="auto"/>
                                              </w:divBdr>
                                            </w:div>
                                            <w:div w:id="201742171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1641954429">
      <w:bodyDiv w:val="1"/>
      <w:marLeft w:val="0"/>
      <w:marRight w:val="679"/>
      <w:marTop w:val="0"/>
      <w:marBottom w:val="0"/>
      <w:divBdr>
        <w:top w:val="none" w:sz="0" w:space="0" w:color="auto"/>
        <w:left w:val="none" w:sz="0" w:space="0" w:color="auto"/>
        <w:bottom w:val="none" w:sz="0" w:space="0" w:color="auto"/>
        <w:right w:val="none" w:sz="0" w:space="0" w:color="auto"/>
      </w:divBdr>
      <w:divsChild>
        <w:div w:id="1885949279">
          <w:marLeft w:val="0"/>
          <w:marRight w:val="0"/>
          <w:marTop w:val="0"/>
          <w:marBottom w:val="0"/>
          <w:divBdr>
            <w:top w:val="none" w:sz="0" w:space="0" w:color="auto"/>
            <w:left w:val="none" w:sz="0" w:space="0" w:color="auto"/>
            <w:bottom w:val="none" w:sz="0" w:space="0" w:color="auto"/>
            <w:right w:val="none" w:sz="0" w:space="0" w:color="auto"/>
          </w:divBdr>
          <w:divsChild>
            <w:div w:id="2085911327">
              <w:marLeft w:val="0"/>
              <w:marRight w:val="0"/>
              <w:marTop w:val="0"/>
              <w:marBottom w:val="0"/>
              <w:divBdr>
                <w:top w:val="none" w:sz="0" w:space="0" w:color="auto"/>
                <w:left w:val="none" w:sz="0" w:space="0" w:color="auto"/>
                <w:bottom w:val="none" w:sz="0" w:space="0" w:color="auto"/>
                <w:right w:val="none" w:sz="0" w:space="0" w:color="auto"/>
              </w:divBdr>
              <w:divsChild>
                <w:div w:id="1008756570">
                  <w:marLeft w:val="0"/>
                  <w:marRight w:val="0"/>
                  <w:marTop w:val="0"/>
                  <w:marBottom w:val="0"/>
                  <w:divBdr>
                    <w:top w:val="none" w:sz="0" w:space="0" w:color="auto"/>
                    <w:left w:val="none" w:sz="0" w:space="0" w:color="auto"/>
                    <w:bottom w:val="none" w:sz="0" w:space="0" w:color="auto"/>
                    <w:right w:val="none" w:sz="0" w:space="0" w:color="auto"/>
                  </w:divBdr>
                  <w:divsChild>
                    <w:div w:id="611323126">
                      <w:marLeft w:val="-204"/>
                      <w:marRight w:val="-204"/>
                      <w:marTop w:val="0"/>
                      <w:marBottom w:val="0"/>
                      <w:divBdr>
                        <w:top w:val="none" w:sz="0" w:space="0" w:color="auto"/>
                        <w:left w:val="none" w:sz="0" w:space="0" w:color="auto"/>
                        <w:bottom w:val="none" w:sz="0" w:space="0" w:color="auto"/>
                        <w:right w:val="none" w:sz="0" w:space="0" w:color="auto"/>
                      </w:divBdr>
                      <w:divsChild>
                        <w:div w:id="63526765">
                          <w:marLeft w:val="0"/>
                          <w:marRight w:val="0"/>
                          <w:marTop w:val="0"/>
                          <w:marBottom w:val="0"/>
                          <w:divBdr>
                            <w:top w:val="none" w:sz="0" w:space="0" w:color="auto"/>
                            <w:left w:val="none" w:sz="0" w:space="0" w:color="auto"/>
                            <w:bottom w:val="none" w:sz="0" w:space="0" w:color="auto"/>
                            <w:right w:val="none" w:sz="0" w:space="0" w:color="auto"/>
                          </w:divBdr>
                          <w:divsChild>
                            <w:div w:id="928387120">
                              <w:marLeft w:val="0"/>
                              <w:marRight w:val="0"/>
                              <w:marTop w:val="0"/>
                              <w:marBottom w:val="0"/>
                              <w:divBdr>
                                <w:top w:val="none" w:sz="0" w:space="0" w:color="auto"/>
                                <w:left w:val="none" w:sz="0" w:space="0" w:color="auto"/>
                                <w:bottom w:val="none" w:sz="0" w:space="0" w:color="auto"/>
                                <w:right w:val="none" w:sz="0" w:space="0" w:color="auto"/>
                              </w:divBdr>
                              <w:divsChild>
                                <w:div w:id="1565408952">
                                  <w:marLeft w:val="0"/>
                                  <w:marRight w:val="0"/>
                                  <w:marTop w:val="0"/>
                                  <w:marBottom w:val="0"/>
                                  <w:divBdr>
                                    <w:top w:val="none" w:sz="0" w:space="0" w:color="auto"/>
                                    <w:left w:val="none" w:sz="0" w:space="0" w:color="auto"/>
                                    <w:bottom w:val="none" w:sz="0" w:space="0" w:color="auto"/>
                                    <w:right w:val="none" w:sz="0" w:space="0" w:color="auto"/>
                                  </w:divBdr>
                                  <w:divsChild>
                                    <w:div w:id="911937633">
                                      <w:marLeft w:val="0"/>
                                      <w:marRight w:val="0"/>
                                      <w:marTop w:val="0"/>
                                      <w:marBottom w:val="0"/>
                                      <w:divBdr>
                                        <w:top w:val="none" w:sz="0" w:space="0" w:color="auto"/>
                                        <w:left w:val="none" w:sz="0" w:space="0" w:color="auto"/>
                                        <w:bottom w:val="none" w:sz="0" w:space="0" w:color="auto"/>
                                        <w:right w:val="none" w:sz="0" w:space="0" w:color="auto"/>
                                      </w:divBdr>
                                      <w:divsChild>
                                        <w:div w:id="50548547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42226208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668023516">
                                                  <w:marLeft w:val="0"/>
                                                  <w:marRight w:val="0"/>
                                                  <w:marTop w:val="0"/>
                                                  <w:marBottom w:val="0"/>
                                                  <w:divBdr>
                                                    <w:top w:val="none" w:sz="0" w:space="0" w:color="auto"/>
                                                    <w:left w:val="none" w:sz="0" w:space="0" w:color="auto"/>
                                                    <w:bottom w:val="none" w:sz="0" w:space="0" w:color="auto"/>
                                                    <w:right w:val="none" w:sz="0" w:space="0" w:color="auto"/>
                                                  </w:divBdr>
                                                  <w:divsChild>
                                                    <w:div w:id="94910872">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773094653">
                                                  <w:marLeft w:val="0"/>
                                                  <w:marRight w:val="0"/>
                                                  <w:marTop w:val="0"/>
                                                  <w:marBottom w:val="0"/>
                                                  <w:divBdr>
                                                    <w:top w:val="none" w:sz="0" w:space="0" w:color="auto"/>
                                                    <w:left w:val="none" w:sz="0" w:space="0" w:color="auto"/>
                                                    <w:bottom w:val="none" w:sz="0" w:space="0" w:color="auto"/>
                                                    <w:right w:val="none" w:sz="0" w:space="0" w:color="auto"/>
                                                  </w:divBdr>
                                                  <w:divsChild>
                                                    <w:div w:id="525218807">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8316385">
      <w:bodyDiv w:val="1"/>
      <w:marLeft w:val="0"/>
      <w:marRight w:val="750"/>
      <w:marTop w:val="0"/>
      <w:marBottom w:val="0"/>
      <w:divBdr>
        <w:top w:val="none" w:sz="0" w:space="0" w:color="auto"/>
        <w:left w:val="none" w:sz="0" w:space="0" w:color="auto"/>
        <w:bottom w:val="none" w:sz="0" w:space="0" w:color="auto"/>
        <w:right w:val="none" w:sz="0" w:space="0" w:color="auto"/>
      </w:divBdr>
      <w:divsChild>
        <w:div w:id="1333483282">
          <w:marLeft w:val="0"/>
          <w:marRight w:val="0"/>
          <w:marTop w:val="0"/>
          <w:marBottom w:val="0"/>
          <w:divBdr>
            <w:top w:val="none" w:sz="0" w:space="0" w:color="auto"/>
            <w:left w:val="none" w:sz="0" w:space="0" w:color="auto"/>
            <w:bottom w:val="none" w:sz="0" w:space="0" w:color="auto"/>
            <w:right w:val="none" w:sz="0" w:space="0" w:color="auto"/>
          </w:divBdr>
          <w:divsChild>
            <w:div w:id="1369450541">
              <w:marLeft w:val="0"/>
              <w:marRight w:val="0"/>
              <w:marTop w:val="0"/>
              <w:marBottom w:val="0"/>
              <w:divBdr>
                <w:top w:val="none" w:sz="0" w:space="0" w:color="auto"/>
                <w:left w:val="none" w:sz="0" w:space="0" w:color="auto"/>
                <w:bottom w:val="none" w:sz="0" w:space="0" w:color="auto"/>
                <w:right w:val="none" w:sz="0" w:space="0" w:color="auto"/>
              </w:divBdr>
              <w:divsChild>
                <w:div w:id="831216095">
                  <w:marLeft w:val="0"/>
                  <w:marRight w:val="0"/>
                  <w:marTop w:val="0"/>
                  <w:marBottom w:val="0"/>
                  <w:divBdr>
                    <w:top w:val="none" w:sz="0" w:space="0" w:color="auto"/>
                    <w:left w:val="none" w:sz="0" w:space="0" w:color="auto"/>
                    <w:bottom w:val="none" w:sz="0" w:space="0" w:color="auto"/>
                    <w:right w:val="none" w:sz="0" w:space="0" w:color="auto"/>
                  </w:divBdr>
                  <w:divsChild>
                    <w:div w:id="1740786841">
                      <w:marLeft w:val="-225"/>
                      <w:marRight w:val="-225"/>
                      <w:marTop w:val="0"/>
                      <w:marBottom w:val="0"/>
                      <w:divBdr>
                        <w:top w:val="none" w:sz="0" w:space="0" w:color="auto"/>
                        <w:left w:val="none" w:sz="0" w:space="0" w:color="auto"/>
                        <w:bottom w:val="none" w:sz="0" w:space="0" w:color="auto"/>
                        <w:right w:val="none" w:sz="0" w:space="0" w:color="auto"/>
                      </w:divBdr>
                      <w:divsChild>
                        <w:div w:id="234320503">
                          <w:marLeft w:val="0"/>
                          <w:marRight w:val="0"/>
                          <w:marTop w:val="0"/>
                          <w:marBottom w:val="0"/>
                          <w:divBdr>
                            <w:top w:val="none" w:sz="0" w:space="0" w:color="auto"/>
                            <w:left w:val="none" w:sz="0" w:space="0" w:color="auto"/>
                            <w:bottom w:val="none" w:sz="0" w:space="0" w:color="auto"/>
                            <w:right w:val="none" w:sz="0" w:space="0" w:color="auto"/>
                          </w:divBdr>
                          <w:divsChild>
                            <w:div w:id="418913269">
                              <w:marLeft w:val="0"/>
                              <w:marRight w:val="0"/>
                              <w:marTop w:val="0"/>
                              <w:marBottom w:val="0"/>
                              <w:divBdr>
                                <w:top w:val="none" w:sz="0" w:space="0" w:color="auto"/>
                                <w:left w:val="none" w:sz="0" w:space="0" w:color="auto"/>
                                <w:bottom w:val="none" w:sz="0" w:space="0" w:color="auto"/>
                                <w:right w:val="none" w:sz="0" w:space="0" w:color="auto"/>
                              </w:divBdr>
                              <w:divsChild>
                                <w:div w:id="1931544580">
                                  <w:marLeft w:val="0"/>
                                  <w:marRight w:val="0"/>
                                  <w:marTop w:val="0"/>
                                  <w:marBottom w:val="0"/>
                                  <w:divBdr>
                                    <w:top w:val="none" w:sz="0" w:space="0" w:color="auto"/>
                                    <w:left w:val="none" w:sz="0" w:space="0" w:color="auto"/>
                                    <w:bottom w:val="none" w:sz="0" w:space="0" w:color="auto"/>
                                    <w:right w:val="none" w:sz="0" w:space="0" w:color="auto"/>
                                  </w:divBdr>
                                  <w:divsChild>
                                    <w:div w:id="2115443607">
                                      <w:marLeft w:val="0"/>
                                      <w:marRight w:val="0"/>
                                      <w:marTop w:val="0"/>
                                      <w:marBottom w:val="0"/>
                                      <w:divBdr>
                                        <w:top w:val="none" w:sz="0" w:space="0" w:color="auto"/>
                                        <w:left w:val="none" w:sz="0" w:space="0" w:color="auto"/>
                                        <w:bottom w:val="none" w:sz="0" w:space="0" w:color="auto"/>
                                        <w:right w:val="none" w:sz="0" w:space="0" w:color="auto"/>
                                      </w:divBdr>
                                      <w:divsChild>
                                        <w:div w:id="54460472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89310018">
                                              <w:blockQuote w:val="1"/>
                                              <w:marLeft w:val="0"/>
                                              <w:marRight w:val="0"/>
                                              <w:marTop w:val="0"/>
                                              <w:marBottom w:val="300"/>
                                              <w:divBdr>
                                                <w:top w:val="none" w:sz="0" w:space="0" w:color="auto"/>
                                                <w:left w:val="single" w:sz="36" w:space="15" w:color="EEEEEE"/>
                                                <w:bottom w:val="none" w:sz="0" w:space="0" w:color="auto"/>
                                                <w:right w:val="none" w:sz="0" w:space="0" w:color="auto"/>
                                              </w:divBdr>
                                            </w:div>
                                            <w:div w:id="17835145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1767072669">
      <w:bodyDiv w:val="1"/>
      <w:marLeft w:val="0"/>
      <w:marRight w:val="750"/>
      <w:marTop w:val="0"/>
      <w:marBottom w:val="0"/>
      <w:divBdr>
        <w:top w:val="none" w:sz="0" w:space="0" w:color="auto"/>
        <w:left w:val="none" w:sz="0" w:space="0" w:color="auto"/>
        <w:bottom w:val="none" w:sz="0" w:space="0" w:color="auto"/>
        <w:right w:val="none" w:sz="0" w:space="0" w:color="auto"/>
      </w:divBdr>
      <w:divsChild>
        <w:div w:id="1035082650">
          <w:marLeft w:val="0"/>
          <w:marRight w:val="0"/>
          <w:marTop w:val="0"/>
          <w:marBottom w:val="0"/>
          <w:divBdr>
            <w:top w:val="none" w:sz="0" w:space="0" w:color="auto"/>
            <w:left w:val="none" w:sz="0" w:space="0" w:color="auto"/>
            <w:bottom w:val="none" w:sz="0" w:space="0" w:color="auto"/>
            <w:right w:val="none" w:sz="0" w:space="0" w:color="auto"/>
          </w:divBdr>
          <w:divsChild>
            <w:div w:id="1564296926">
              <w:marLeft w:val="0"/>
              <w:marRight w:val="0"/>
              <w:marTop w:val="0"/>
              <w:marBottom w:val="0"/>
              <w:divBdr>
                <w:top w:val="none" w:sz="0" w:space="0" w:color="auto"/>
                <w:left w:val="none" w:sz="0" w:space="0" w:color="auto"/>
                <w:bottom w:val="none" w:sz="0" w:space="0" w:color="auto"/>
                <w:right w:val="none" w:sz="0" w:space="0" w:color="auto"/>
              </w:divBdr>
              <w:divsChild>
                <w:div w:id="1850833474">
                  <w:marLeft w:val="0"/>
                  <w:marRight w:val="0"/>
                  <w:marTop w:val="0"/>
                  <w:marBottom w:val="0"/>
                  <w:divBdr>
                    <w:top w:val="none" w:sz="0" w:space="0" w:color="auto"/>
                    <w:left w:val="none" w:sz="0" w:space="0" w:color="auto"/>
                    <w:bottom w:val="none" w:sz="0" w:space="0" w:color="auto"/>
                    <w:right w:val="none" w:sz="0" w:space="0" w:color="auto"/>
                  </w:divBdr>
                  <w:divsChild>
                    <w:div w:id="1237669436">
                      <w:marLeft w:val="-225"/>
                      <w:marRight w:val="-225"/>
                      <w:marTop w:val="0"/>
                      <w:marBottom w:val="0"/>
                      <w:divBdr>
                        <w:top w:val="none" w:sz="0" w:space="0" w:color="auto"/>
                        <w:left w:val="none" w:sz="0" w:space="0" w:color="auto"/>
                        <w:bottom w:val="none" w:sz="0" w:space="0" w:color="auto"/>
                        <w:right w:val="none" w:sz="0" w:space="0" w:color="auto"/>
                      </w:divBdr>
                      <w:divsChild>
                        <w:div w:id="1808694012">
                          <w:marLeft w:val="0"/>
                          <w:marRight w:val="0"/>
                          <w:marTop w:val="0"/>
                          <w:marBottom w:val="0"/>
                          <w:divBdr>
                            <w:top w:val="none" w:sz="0" w:space="0" w:color="auto"/>
                            <w:left w:val="none" w:sz="0" w:space="0" w:color="auto"/>
                            <w:bottom w:val="none" w:sz="0" w:space="0" w:color="auto"/>
                            <w:right w:val="none" w:sz="0" w:space="0" w:color="auto"/>
                          </w:divBdr>
                          <w:divsChild>
                            <w:div w:id="1343239645">
                              <w:marLeft w:val="0"/>
                              <w:marRight w:val="0"/>
                              <w:marTop w:val="0"/>
                              <w:marBottom w:val="0"/>
                              <w:divBdr>
                                <w:top w:val="none" w:sz="0" w:space="0" w:color="auto"/>
                                <w:left w:val="none" w:sz="0" w:space="0" w:color="auto"/>
                                <w:bottom w:val="none" w:sz="0" w:space="0" w:color="auto"/>
                                <w:right w:val="none" w:sz="0" w:space="0" w:color="auto"/>
                              </w:divBdr>
                              <w:divsChild>
                                <w:div w:id="1718040665">
                                  <w:marLeft w:val="0"/>
                                  <w:marRight w:val="0"/>
                                  <w:marTop w:val="0"/>
                                  <w:marBottom w:val="0"/>
                                  <w:divBdr>
                                    <w:top w:val="none" w:sz="0" w:space="0" w:color="auto"/>
                                    <w:left w:val="none" w:sz="0" w:space="0" w:color="auto"/>
                                    <w:bottom w:val="none" w:sz="0" w:space="0" w:color="auto"/>
                                    <w:right w:val="none" w:sz="0" w:space="0" w:color="auto"/>
                                  </w:divBdr>
                                  <w:divsChild>
                                    <w:div w:id="56365864">
                                      <w:marLeft w:val="0"/>
                                      <w:marRight w:val="0"/>
                                      <w:marTop w:val="0"/>
                                      <w:marBottom w:val="0"/>
                                      <w:divBdr>
                                        <w:top w:val="none" w:sz="0" w:space="0" w:color="auto"/>
                                        <w:left w:val="none" w:sz="0" w:space="0" w:color="auto"/>
                                        <w:bottom w:val="none" w:sz="0" w:space="0" w:color="auto"/>
                                        <w:right w:val="none" w:sz="0" w:space="0" w:color="auto"/>
                                      </w:divBdr>
                                      <w:divsChild>
                                        <w:div w:id="30246312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3603191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90745277">
                                                  <w:marLeft w:val="0"/>
                                                  <w:marRight w:val="0"/>
                                                  <w:marTop w:val="0"/>
                                                  <w:marBottom w:val="0"/>
                                                  <w:divBdr>
                                                    <w:top w:val="none" w:sz="0" w:space="0" w:color="auto"/>
                                                    <w:left w:val="none" w:sz="0" w:space="0" w:color="auto"/>
                                                    <w:bottom w:val="none" w:sz="0" w:space="0" w:color="auto"/>
                                                    <w:right w:val="none" w:sz="0" w:space="0" w:color="auto"/>
                                                  </w:divBdr>
                                                  <w:divsChild>
                                                    <w:div w:id="9660094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39236300">
                                                  <w:marLeft w:val="0"/>
                                                  <w:marRight w:val="0"/>
                                                  <w:marTop w:val="0"/>
                                                  <w:marBottom w:val="0"/>
                                                  <w:divBdr>
                                                    <w:top w:val="none" w:sz="0" w:space="0" w:color="auto"/>
                                                    <w:left w:val="none" w:sz="0" w:space="0" w:color="auto"/>
                                                    <w:bottom w:val="none" w:sz="0" w:space="0" w:color="auto"/>
                                                    <w:right w:val="none" w:sz="0" w:space="0" w:color="auto"/>
                                                  </w:divBdr>
                                                  <w:divsChild>
                                                    <w:div w:id="7170711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96751263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305433146">
                                                  <w:marLeft w:val="0"/>
                                                  <w:marRight w:val="0"/>
                                                  <w:marTop w:val="0"/>
                                                  <w:marBottom w:val="0"/>
                                                  <w:divBdr>
                                                    <w:top w:val="none" w:sz="0" w:space="0" w:color="auto"/>
                                                    <w:left w:val="none" w:sz="0" w:space="0" w:color="auto"/>
                                                    <w:bottom w:val="none" w:sz="0" w:space="0" w:color="auto"/>
                                                    <w:right w:val="none" w:sz="0" w:space="0" w:color="auto"/>
                                                  </w:divBdr>
                                                  <w:divsChild>
                                                    <w:div w:id="106097816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06469867">
                                                  <w:marLeft w:val="0"/>
                                                  <w:marRight w:val="0"/>
                                                  <w:marTop w:val="0"/>
                                                  <w:marBottom w:val="0"/>
                                                  <w:divBdr>
                                                    <w:top w:val="none" w:sz="0" w:space="0" w:color="auto"/>
                                                    <w:left w:val="none" w:sz="0" w:space="0" w:color="auto"/>
                                                    <w:bottom w:val="none" w:sz="0" w:space="0" w:color="auto"/>
                                                    <w:right w:val="none" w:sz="0" w:space="0" w:color="auto"/>
                                                  </w:divBdr>
                                                  <w:divsChild>
                                                    <w:div w:id="171596018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74892152">
                                                  <w:marLeft w:val="0"/>
                                                  <w:marRight w:val="0"/>
                                                  <w:marTop w:val="0"/>
                                                  <w:marBottom w:val="0"/>
                                                  <w:divBdr>
                                                    <w:top w:val="none" w:sz="0" w:space="0" w:color="auto"/>
                                                    <w:left w:val="none" w:sz="0" w:space="0" w:color="auto"/>
                                                    <w:bottom w:val="none" w:sz="0" w:space="0" w:color="auto"/>
                                                    <w:right w:val="none" w:sz="0" w:space="0" w:color="auto"/>
                                                  </w:divBdr>
                                                  <w:divsChild>
                                                    <w:div w:id="154386182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201471">
      <w:bodyDiv w:val="1"/>
      <w:marLeft w:val="0"/>
      <w:marRight w:val="750"/>
      <w:marTop w:val="0"/>
      <w:marBottom w:val="0"/>
      <w:divBdr>
        <w:top w:val="none" w:sz="0" w:space="0" w:color="auto"/>
        <w:left w:val="none" w:sz="0" w:space="0" w:color="auto"/>
        <w:bottom w:val="none" w:sz="0" w:space="0" w:color="auto"/>
        <w:right w:val="none" w:sz="0" w:space="0" w:color="auto"/>
      </w:divBdr>
      <w:divsChild>
        <w:div w:id="438991907">
          <w:marLeft w:val="0"/>
          <w:marRight w:val="0"/>
          <w:marTop w:val="0"/>
          <w:marBottom w:val="0"/>
          <w:divBdr>
            <w:top w:val="none" w:sz="0" w:space="0" w:color="auto"/>
            <w:left w:val="none" w:sz="0" w:space="0" w:color="auto"/>
            <w:bottom w:val="none" w:sz="0" w:space="0" w:color="auto"/>
            <w:right w:val="none" w:sz="0" w:space="0" w:color="auto"/>
          </w:divBdr>
          <w:divsChild>
            <w:div w:id="1355309450">
              <w:marLeft w:val="0"/>
              <w:marRight w:val="0"/>
              <w:marTop w:val="0"/>
              <w:marBottom w:val="0"/>
              <w:divBdr>
                <w:top w:val="none" w:sz="0" w:space="0" w:color="auto"/>
                <w:left w:val="none" w:sz="0" w:space="0" w:color="auto"/>
                <w:bottom w:val="none" w:sz="0" w:space="0" w:color="auto"/>
                <w:right w:val="none" w:sz="0" w:space="0" w:color="auto"/>
              </w:divBdr>
              <w:divsChild>
                <w:div w:id="1773893876">
                  <w:marLeft w:val="0"/>
                  <w:marRight w:val="0"/>
                  <w:marTop w:val="0"/>
                  <w:marBottom w:val="0"/>
                  <w:divBdr>
                    <w:top w:val="none" w:sz="0" w:space="0" w:color="auto"/>
                    <w:left w:val="none" w:sz="0" w:space="0" w:color="auto"/>
                    <w:bottom w:val="none" w:sz="0" w:space="0" w:color="auto"/>
                    <w:right w:val="none" w:sz="0" w:space="0" w:color="auto"/>
                  </w:divBdr>
                  <w:divsChild>
                    <w:div w:id="996416500">
                      <w:marLeft w:val="-225"/>
                      <w:marRight w:val="-225"/>
                      <w:marTop w:val="0"/>
                      <w:marBottom w:val="0"/>
                      <w:divBdr>
                        <w:top w:val="none" w:sz="0" w:space="0" w:color="auto"/>
                        <w:left w:val="none" w:sz="0" w:space="0" w:color="auto"/>
                        <w:bottom w:val="none" w:sz="0" w:space="0" w:color="auto"/>
                        <w:right w:val="none" w:sz="0" w:space="0" w:color="auto"/>
                      </w:divBdr>
                      <w:divsChild>
                        <w:div w:id="746266744">
                          <w:marLeft w:val="0"/>
                          <w:marRight w:val="0"/>
                          <w:marTop w:val="0"/>
                          <w:marBottom w:val="0"/>
                          <w:divBdr>
                            <w:top w:val="none" w:sz="0" w:space="0" w:color="auto"/>
                            <w:left w:val="none" w:sz="0" w:space="0" w:color="auto"/>
                            <w:bottom w:val="none" w:sz="0" w:space="0" w:color="auto"/>
                            <w:right w:val="none" w:sz="0" w:space="0" w:color="auto"/>
                          </w:divBdr>
                          <w:divsChild>
                            <w:div w:id="1812288412">
                              <w:marLeft w:val="0"/>
                              <w:marRight w:val="0"/>
                              <w:marTop w:val="0"/>
                              <w:marBottom w:val="0"/>
                              <w:divBdr>
                                <w:top w:val="none" w:sz="0" w:space="0" w:color="auto"/>
                                <w:left w:val="none" w:sz="0" w:space="0" w:color="auto"/>
                                <w:bottom w:val="none" w:sz="0" w:space="0" w:color="auto"/>
                                <w:right w:val="none" w:sz="0" w:space="0" w:color="auto"/>
                              </w:divBdr>
                              <w:divsChild>
                                <w:div w:id="1775049966">
                                  <w:marLeft w:val="0"/>
                                  <w:marRight w:val="0"/>
                                  <w:marTop w:val="0"/>
                                  <w:marBottom w:val="0"/>
                                  <w:divBdr>
                                    <w:top w:val="none" w:sz="0" w:space="0" w:color="auto"/>
                                    <w:left w:val="none" w:sz="0" w:space="0" w:color="auto"/>
                                    <w:bottom w:val="none" w:sz="0" w:space="0" w:color="auto"/>
                                    <w:right w:val="none" w:sz="0" w:space="0" w:color="auto"/>
                                  </w:divBdr>
                                  <w:divsChild>
                                    <w:div w:id="350030611">
                                      <w:marLeft w:val="0"/>
                                      <w:marRight w:val="0"/>
                                      <w:marTop w:val="0"/>
                                      <w:marBottom w:val="0"/>
                                      <w:divBdr>
                                        <w:top w:val="none" w:sz="0" w:space="0" w:color="auto"/>
                                        <w:left w:val="none" w:sz="0" w:space="0" w:color="auto"/>
                                        <w:bottom w:val="none" w:sz="0" w:space="0" w:color="auto"/>
                                        <w:right w:val="none" w:sz="0" w:space="0" w:color="auto"/>
                                      </w:divBdr>
                                      <w:divsChild>
                                        <w:div w:id="95094108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06764819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36451655">
                                                  <w:marLeft w:val="0"/>
                                                  <w:marRight w:val="0"/>
                                                  <w:marTop w:val="0"/>
                                                  <w:marBottom w:val="0"/>
                                                  <w:divBdr>
                                                    <w:top w:val="none" w:sz="0" w:space="0" w:color="auto"/>
                                                    <w:left w:val="none" w:sz="0" w:space="0" w:color="auto"/>
                                                    <w:bottom w:val="none" w:sz="0" w:space="0" w:color="auto"/>
                                                    <w:right w:val="none" w:sz="0" w:space="0" w:color="auto"/>
                                                  </w:divBdr>
                                                  <w:divsChild>
                                                    <w:div w:id="87242829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38230827">
                                                  <w:marLeft w:val="0"/>
                                                  <w:marRight w:val="0"/>
                                                  <w:marTop w:val="0"/>
                                                  <w:marBottom w:val="0"/>
                                                  <w:divBdr>
                                                    <w:top w:val="none" w:sz="0" w:space="0" w:color="auto"/>
                                                    <w:left w:val="none" w:sz="0" w:space="0" w:color="auto"/>
                                                    <w:bottom w:val="none" w:sz="0" w:space="0" w:color="auto"/>
                                                    <w:right w:val="none" w:sz="0" w:space="0" w:color="auto"/>
                                                  </w:divBdr>
                                                  <w:divsChild>
                                                    <w:div w:id="212672818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45441079">
                                                  <w:marLeft w:val="0"/>
                                                  <w:marRight w:val="0"/>
                                                  <w:marTop w:val="0"/>
                                                  <w:marBottom w:val="0"/>
                                                  <w:divBdr>
                                                    <w:top w:val="none" w:sz="0" w:space="0" w:color="auto"/>
                                                    <w:left w:val="none" w:sz="0" w:space="0" w:color="auto"/>
                                                    <w:bottom w:val="none" w:sz="0" w:space="0" w:color="auto"/>
                                                    <w:right w:val="none" w:sz="0" w:space="0" w:color="auto"/>
                                                  </w:divBdr>
                                                  <w:divsChild>
                                                    <w:div w:id="136532687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47823560">
                                                  <w:marLeft w:val="0"/>
                                                  <w:marRight w:val="0"/>
                                                  <w:marTop w:val="0"/>
                                                  <w:marBottom w:val="0"/>
                                                  <w:divBdr>
                                                    <w:top w:val="none" w:sz="0" w:space="0" w:color="auto"/>
                                                    <w:left w:val="none" w:sz="0" w:space="0" w:color="auto"/>
                                                    <w:bottom w:val="none" w:sz="0" w:space="0" w:color="auto"/>
                                                    <w:right w:val="none" w:sz="0" w:space="0" w:color="auto"/>
                                                  </w:divBdr>
                                                  <w:divsChild>
                                                    <w:div w:id="94465326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10374502">
                                                  <w:marLeft w:val="0"/>
                                                  <w:marRight w:val="0"/>
                                                  <w:marTop w:val="0"/>
                                                  <w:marBottom w:val="0"/>
                                                  <w:divBdr>
                                                    <w:top w:val="none" w:sz="0" w:space="0" w:color="auto"/>
                                                    <w:left w:val="none" w:sz="0" w:space="0" w:color="auto"/>
                                                    <w:bottom w:val="none" w:sz="0" w:space="0" w:color="auto"/>
                                                    <w:right w:val="none" w:sz="0" w:space="0" w:color="auto"/>
                                                  </w:divBdr>
                                                  <w:divsChild>
                                                    <w:div w:id="24048103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2451861">
                                                  <w:marLeft w:val="0"/>
                                                  <w:marRight w:val="0"/>
                                                  <w:marTop w:val="0"/>
                                                  <w:marBottom w:val="0"/>
                                                  <w:divBdr>
                                                    <w:top w:val="none" w:sz="0" w:space="0" w:color="auto"/>
                                                    <w:left w:val="none" w:sz="0" w:space="0" w:color="auto"/>
                                                    <w:bottom w:val="none" w:sz="0" w:space="0" w:color="auto"/>
                                                    <w:right w:val="none" w:sz="0" w:space="0" w:color="auto"/>
                                                  </w:divBdr>
                                                  <w:divsChild>
                                                    <w:div w:id="50116336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53667380">
                                                  <w:marLeft w:val="0"/>
                                                  <w:marRight w:val="0"/>
                                                  <w:marTop w:val="0"/>
                                                  <w:marBottom w:val="0"/>
                                                  <w:divBdr>
                                                    <w:top w:val="none" w:sz="0" w:space="0" w:color="auto"/>
                                                    <w:left w:val="none" w:sz="0" w:space="0" w:color="auto"/>
                                                    <w:bottom w:val="none" w:sz="0" w:space="0" w:color="auto"/>
                                                    <w:right w:val="none" w:sz="0" w:space="0" w:color="auto"/>
                                                  </w:divBdr>
                                                  <w:divsChild>
                                                    <w:div w:id="144372418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9156836">
      <w:bodyDiv w:val="1"/>
      <w:marLeft w:val="0"/>
      <w:marRight w:val="750"/>
      <w:marTop w:val="0"/>
      <w:marBottom w:val="0"/>
      <w:divBdr>
        <w:top w:val="none" w:sz="0" w:space="0" w:color="auto"/>
        <w:left w:val="none" w:sz="0" w:space="0" w:color="auto"/>
        <w:bottom w:val="none" w:sz="0" w:space="0" w:color="auto"/>
        <w:right w:val="none" w:sz="0" w:space="0" w:color="auto"/>
      </w:divBdr>
      <w:divsChild>
        <w:div w:id="946616550">
          <w:marLeft w:val="0"/>
          <w:marRight w:val="0"/>
          <w:marTop w:val="0"/>
          <w:marBottom w:val="0"/>
          <w:divBdr>
            <w:top w:val="none" w:sz="0" w:space="0" w:color="auto"/>
            <w:left w:val="none" w:sz="0" w:space="0" w:color="auto"/>
            <w:bottom w:val="none" w:sz="0" w:space="0" w:color="auto"/>
            <w:right w:val="none" w:sz="0" w:space="0" w:color="auto"/>
          </w:divBdr>
          <w:divsChild>
            <w:div w:id="1144154788">
              <w:marLeft w:val="0"/>
              <w:marRight w:val="0"/>
              <w:marTop w:val="0"/>
              <w:marBottom w:val="0"/>
              <w:divBdr>
                <w:top w:val="none" w:sz="0" w:space="0" w:color="auto"/>
                <w:left w:val="none" w:sz="0" w:space="0" w:color="auto"/>
                <w:bottom w:val="none" w:sz="0" w:space="0" w:color="auto"/>
                <w:right w:val="none" w:sz="0" w:space="0" w:color="auto"/>
              </w:divBdr>
              <w:divsChild>
                <w:div w:id="1106927698">
                  <w:marLeft w:val="0"/>
                  <w:marRight w:val="0"/>
                  <w:marTop w:val="0"/>
                  <w:marBottom w:val="0"/>
                  <w:divBdr>
                    <w:top w:val="none" w:sz="0" w:space="0" w:color="auto"/>
                    <w:left w:val="none" w:sz="0" w:space="0" w:color="auto"/>
                    <w:bottom w:val="none" w:sz="0" w:space="0" w:color="auto"/>
                    <w:right w:val="none" w:sz="0" w:space="0" w:color="auto"/>
                  </w:divBdr>
                  <w:divsChild>
                    <w:div w:id="1763262680">
                      <w:marLeft w:val="-225"/>
                      <w:marRight w:val="-225"/>
                      <w:marTop w:val="0"/>
                      <w:marBottom w:val="0"/>
                      <w:divBdr>
                        <w:top w:val="none" w:sz="0" w:space="0" w:color="auto"/>
                        <w:left w:val="none" w:sz="0" w:space="0" w:color="auto"/>
                        <w:bottom w:val="none" w:sz="0" w:space="0" w:color="auto"/>
                        <w:right w:val="none" w:sz="0" w:space="0" w:color="auto"/>
                      </w:divBdr>
                      <w:divsChild>
                        <w:div w:id="516389282">
                          <w:marLeft w:val="0"/>
                          <w:marRight w:val="0"/>
                          <w:marTop w:val="0"/>
                          <w:marBottom w:val="0"/>
                          <w:divBdr>
                            <w:top w:val="none" w:sz="0" w:space="0" w:color="auto"/>
                            <w:left w:val="none" w:sz="0" w:space="0" w:color="auto"/>
                            <w:bottom w:val="none" w:sz="0" w:space="0" w:color="auto"/>
                            <w:right w:val="none" w:sz="0" w:space="0" w:color="auto"/>
                          </w:divBdr>
                          <w:divsChild>
                            <w:div w:id="1192189622">
                              <w:marLeft w:val="0"/>
                              <w:marRight w:val="0"/>
                              <w:marTop w:val="0"/>
                              <w:marBottom w:val="0"/>
                              <w:divBdr>
                                <w:top w:val="none" w:sz="0" w:space="0" w:color="auto"/>
                                <w:left w:val="none" w:sz="0" w:space="0" w:color="auto"/>
                                <w:bottom w:val="none" w:sz="0" w:space="0" w:color="auto"/>
                                <w:right w:val="none" w:sz="0" w:space="0" w:color="auto"/>
                              </w:divBdr>
                              <w:divsChild>
                                <w:div w:id="1830831140">
                                  <w:marLeft w:val="0"/>
                                  <w:marRight w:val="0"/>
                                  <w:marTop w:val="0"/>
                                  <w:marBottom w:val="0"/>
                                  <w:divBdr>
                                    <w:top w:val="none" w:sz="0" w:space="0" w:color="auto"/>
                                    <w:left w:val="none" w:sz="0" w:space="0" w:color="auto"/>
                                    <w:bottom w:val="none" w:sz="0" w:space="0" w:color="auto"/>
                                    <w:right w:val="none" w:sz="0" w:space="0" w:color="auto"/>
                                  </w:divBdr>
                                  <w:divsChild>
                                    <w:div w:id="1328482160">
                                      <w:marLeft w:val="0"/>
                                      <w:marRight w:val="0"/>
                                      <w:marTop w:val="0"/>
                                      <w:marBottom w:val="0"/>
                                      <w:divBdr>
                                        <w:top w:val="none" w:sz="0" w:space="0" w:color="auto"/>
                                        <w:left w:val="none" w:sz="0" w:space="0" w:color="auto"/>
                                        <w:bottom w:val="none" w:sz="0" w:space="0" w:color="auto"/>
                                        <w:right w:val="none" w:sz="0" w:space="0" w:color="auto"/>
                                      </w:divBdr>
                                      <w:divsChild>
                                        <w:div w:id="136236641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431201270">
                                              <w:blockQuote w:val="1"/>
                                              <w:marLeft w:val="0"/>
                                              <w:marRight w:val="0"/>
                                              <w:marTop w:val="0"/>
                                              <w:marBottom w:val="300"/>
                                              <w:divBdr>
                                                <w:top w:val="none" w:sz="0" w:space="0" w:color="auto"/>
                                                <w:left w:val="single" w:sz="36" w:space="15" w:color="EEEEEE"/>
                                                <w:bottom w:val="none" w:sz="0" w:space="0" w:color="auto"/>
                                                <w:right w:val="none" w:sz="0" w:space="0" w:color="auto"/>
                                              </w:divBdr>
                                            </w:div>
                                            <w:div w:id="892691906">
                                              <w:blockQuote w:val="1"/>
                                              <w:marLeft w:val="0"/>
                                              <w:marRight w:val="0"/>
                                              <w:marTop w:val="0"/>
                                              <w:marBottom w:val="300"/>
                                              <w:divBdr>
                                                <w:top w:val="none" w:sz="0" w:space="0" w:color="auto"/>
                                                <w:left w:val="single" w:sz="36" w:space="15" w:color="EEEEEE"/>
                                                <w:bottom w:val="none" w:sz="0" w:space="0" w:color="auto"/>
                                                <w:right w:val="none" w:sz="0" w:space="0" w:color="auto"/>
                                              </w:divBdr>
                                            </w:div>
                                            <w:div w:id="1639801798">
                                              <w:blockQuote w:val="1"/>
                                              <w:marLeft w:val="0"/>
                                              <w:marRight w:val="0"/>
                                              <w:marTop w:val="0"/>
                                              <w:marBottom w:val="300"/>
                                              <w:divBdr>
                                                <w:top w:val="none" w:sz="0" w:space="0" w:color="auto"/>
                                                <w:left w:val="single" w:sz="36" w:space="15" w:color="EEEEEE"/>
                                                <w:bottom w:val="none" w:sz="0" w:space="0" w:color="auto"/>
                                                <w:right w:val="none" w:sz="0" w:space="0" w:color="auto"/>
                                              </w:divBdr>
                                            </w:div>
                                            <w:div w:id="1459647807">
                                              <w:blockQuote w:val="1"/>
                                              <w:marLeft w:val="0"/>
                                              <w:marRight w:val="0"/>
                                              <w:marTop w:val="0"/>
                                              <w:marBottom w:val="300"/>
                                              <w:divBdr>
                                                <w:top w:val="none" w:sz="0" w:space="0" w:color="auto"/>
                                                <w:left w:val="single" w:sz="36" w:space="15" w:color="EEEEEE"/>
                                                <w:bottom w:val="none" w:sz="0" w:space="0" w:color="auto"/>
                                                <w:right w:val="none" w:sz="0" w:space="0" w:color="auto"/>
                                              </w:divBdr>
                                            </w:div>
                                            <w:div w:id="79275265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1927029115">
      <w:bodyDiv w:val="1"/>
      <w:marLeft w:val="0"/>
      <w:marRight w:val="679"/>
      <w:marTop w:val="0"/>
      <w:marBottom w:val="0"/>
      <w:divBdr>
        <w:top w:val="none" w:sz="0" w:space="0" w:color="auto"/>
        <w:left w:val="none" w:sz="0" w:space="0" w:color="auto"/>
        <w:bottom w:val="none" w:sz="0" w:space="0" w:color="auto"/>
        <w:right w:val="none" w:sz="0" w:space="0" w:color="auto"/>
      </w:divBdr>
      <w:divsChild>
        <w:div w:id="319695935">
          <w:marLeft w:val="0"/>
          <w:marRight w:val="0"/>
          <w:marTop w:val="0"/>
          <w:marBottom w:val="0"/>
          <w:divBdr>
            <w:top w:val="none" w:sz="0" w:space="0" w:color="auto"/>
            <w:left w:val="none" w:sz="0" w:space="0" w:color="auto"/>
            <w:bottom w:val="none" w:sz="0" w:space="0" w:color="auto"/>
            <w:right w:val="none" w:sz="0" w:space="0" w:color="auto"/>
          </w:divBdr>
          <w:divsChild>
            <w:div w:id="598026807">
              <w:marLeft w:val="0"/>
              <w:marRight w:val="0"/>
              <w:marTop w:val="0"/>
              <w:marBottom w:val="0"/>
              <w:divBdr>
                <w:top w:val="none" w:sz="0" w:space="0" w:color="auto"/>
                <w:left w:val="none" w:sz="0" w:space="0" w:color="auto"/>
                <w:bottom w:val="none" w:sz="0" w:space="0" w:color="auto"/>
                <w:right w:val="none" w:sz="0" w:space="0" w:color="auto"/>
              </w:divBdr>
              <w:divsChild>
                <w:div w:id="580483855">
                  <w:marLeft w:val="0"/>
                  <w:marRight w:val="0"/>
                  <w:marTop w:val="0"/>
                  <w:marBottom w:val="0"/>
                  <w:divBdr>
                    <w:top w:val="none" w:sz="0" w:space="0" w:color="auto"/>
                    <w:left w:val="none" w:sz="0" w:space="0" w:color="auto"/>
                    <w:bottom w:val="none" w:sz="0" w:space="0" w:color="auto"/>
                    <w:right w:val="none" w:sz="0" w:space="0" w:color="auto"/>
                  </w:divBdr>
                  <w:divsChild>
                    <w:div w:id="1329943806">
                      <w:marLeft w:val="-204"/>
                      <w:marRight w:val="-204"/>
                      <w:marTop w:val="0"/>
                      <w:marBottom w:val="0"/>
                      <w:divBdr>
                        <w:top w:val="none" w:sz="0" w:space="0" w:color="auto"/>
                        <w:left w:val="none" w:sz="0" w:space="0" w:color="auto"/>
                        <w:bottom w:val="none" w:sz="0" w:space="0" w:color="auto"/>
                        <w:right w:val="none" w:sz="0" w:space="0" w:color="auto"/>
                      </w:divBdr>
                      <w:divsChild>
                        <w:div w:id="964390835">
                          <w:marLeft w:val="0"/>
                          <w:marRight w:val="0"/>
                          <w:marTop w:val="0"/>
                          <w:marBottom w:val="0"/>
                          <w:divBdr>
                            <w:top w:val="none" w:sz="0" w:space="0" w:color="auto"/>
                            <w:left w:val="none" w:sz="0" w:space="0" w:color="auto"/>
                            <w:bottom w:val="none" w:sz="0" w:space="0" w:color="auto"/>
                            <w:right w:val="none" w:sz="0" w:space="0" w:color="auto"/>
                          </w:divBdr>
                          <w:divsChild>
                            <w:div w:id="735006907">
                              <w:marLeft w:val="0"/>
                              <w:marRight w:val="0"/>
                              <w:marTop w:val="0"/>
                              <w:marBottom w:val="0"/>
                              <w:divBdr>
                                <w:top w:val="none" w:sz="0" w:space="0" w:color="auto"/>
                                <w:left w:val="none" w:sz="0" w:space="0" w:color="auto"/>
                                <w:bottom w:val="none" w:sz="0" w:space="0" w:color="auto"/>
                                <w:right w:val="none" w:sz="0" w:space="0" w:color="auto"/>
                              </w:divBdr>
                              <w:divsChild>
                                <w:div w:id="1472938176">
                                  <w:marLeft w:val="0"/>
                                  <w:marRight w:val="0"/>
                                  <w:marTop w:val="0"/>
                                  <w:marBottom w:val="0"/>
                                  <w:divBdr>
                                    <w:top w:val="none" w:sz="0" w:space="0" w:color="auto"/>
                                    <w:left w:val="none" w:sz="0" w:space="0" w:color="auto"/>
                                    <w:bottom w:val="none" w:sz="0" w:space="0" w:color="auto"/>
                                    <w:right w:val="none" w:sz="0" w:space="0" w:color="auto"/>
                                  </w:divBdr>
                                  <w:divsChild>
                                    <w:div w:id="1647200026">
                                      <w:marLeft w:val="0"/>
                                      <w:marRight w:val="0"/>
                                      <w:marTop w:val="0"/>
                                      <w:marBottom w:val="0"/>
                                      <w:divBdr>
                                        <w:top w:val="none" w:sz="0" w:space="0" w:color="auto"/>
                                        <w:left w:val="none" w:sz="0" w:space="0" w:color="auto"/>
                                        <w:bottom w:val="none" w:sz="0" w:space="0" w:color="auto"/>
                                        <w:right w:val="none" w:sz="0" w:space="0" w:color="auto"/>
                                      </w:divBdr>
                                      <w:divsChild>
                                        <w:div w:id="124861360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40921119">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783256805">
                                                  <w:marLeft w:val="0"/>
                                                  <w:marRight w:val="0"/>
                                                  <w:marTop w:val="0"/>
                                                  <w:marBottom w:val="0"/>
                                                  <w:divBdr>
                                                    <w:top w:val="none" w:sz="0" w:space="0" w:color="auto"/>
                                                    <w:left w:val="none" w:sz="0" w:space="0" w:color="auto"/>
                                                    <w:bottom w:val="none" w:sz="0" w:space="0" w:color="auto"/>
                                                    <w:right w:val="none" w:sz="0" w:space="0" w:color="auto"/>
                                                  </w:divBdr>
                                                  <w:divsChild>
                                                    <w:div w:id="152570626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578400466">
                                                  <w:marLeft w:val="0"/>
                                                  <w:marRight w:val="0"/>
                                                  <w:marTop w:val="0"/>
                                                  <w:marBottom w:val="0"/>
                                                  <w:divBdr>
                                                    <w:top w:val="none" w:sz="0" w:space="0" w:color="auto"/>
                                                    <w:left w:val="none" w:sz="0" w:space="0" w:color="auto"/>
                                                    <w:bottom w:val="none" w:sz="0" w:space="0" w:color="auto"/>
                                                    <w:right w:val="none" w:sz="0" w:space="0" w:color="auto"/>
                                                  </w:divBdr>
                                                  <w:divsChild>
                                                    <w:div w:id="699934014">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1864041">
      <w:bodyDiv w:val="1"/>
      <w:marLeft w:val="0"/>
      <w:marRight w:val="750"/>
      <w:marTop w:val="0"/>
      <w:marBottom w:val="0"/>
      <w:divBdr>
        <w:top w:val="none" w:sz="0" w:space="0" w:color="auto"/>
        <w:left w:val="none" w:sz="0" w:space="0" w:color="auto"/>
        <w:bottom w:val="none" w:sz="0" w:space="0" w:color="auto"/>
        <w:right w:val="none" w:sz="0" w:space="0" w:color="auto"/>
      </w:divBdr>
      <w:divsChild>
        <w:div w:id="158430566">
          <w:marLeft w:val="0"/>
          <w:marRight w:val="0"/>
          <w:marTop w:val="0"/>
          <w:marBottom w:val="0"/>
          <w:divBdr>
            <w:top w:val="none" w:sz="0" w:space="0" w:color="auto"/>
            <w:left w:val="none" w:sz="0" w:space="0" w:color="auto"/>
            <w:bottom w:val="none" w:sz="0" w:space="0" w:color="auto"/>
            <w:right w:val="none" w:sz="0" w:space="0" w:color="auto"/>
          </w:divBdr>
          <w:divsChild>
            <w:div w:id="794180849">
              <w:marLeft w:val="0"/>
              <w:marRight w:val="0"/>
              <w:marTop w:val="0"/>
              <w:marBottom w:val="0"/>
              <w:divBdr>
                <w:top w:val="none" w:sz="0" w:space="0" w:color="auto"/>
                <w:left w:val="none" w:sz="0" w:space="0" w:color="auto"/>
                <w:bottom w:val="none" w:sz="0" w:space="0" w:color="auto"/>
                <w:right w:val="none" w:sz="0" w:space="0" w:color="auto"/>
              </w:divBdr>
              <w:divsChild>
                <w:div w:id="2075666276">
                  <w:marLeft w:val="0"/>
                  <w:marRight w:val="0"/>
                  <w:marTop w:val="0"/>
                  <w:marBottom w:val="0"/>
                  <w:divBdr>
                    <w:top w:val="none" w:sz="0" w:space="0" w:color="auto"/>
                    <w:left w:val="none" w:sz="0" w:space="0" w:color="auto"/>
                    <w:bottom w:val="none" w:sz="0" w:space="0" w:color="auto"/>
                    <w:right w:val="none" w:sz="0" w:space="0" w:color="auto"/>
                  </w:divBdr>
                  <w:divsChild>
                    <w:div w:id="1667049128">
                      <w:marLeft w:val="-225"/>
                      <w:marRight w:val="-225"/>
                      <w:marTop w:val="0"/>
                      <w:marBottom w:val="0"/>
                      <w:divBdr>
                        <w:top w:val="none" w:sz="0" w:space="0" w:color="auto"/>
                        <w:left w:val="none" w:sz="0" w:space="0" w:color="auto"/>
                        <w:bottom w:val="none" w:sz="0" w:space="0" w:color="auto"/>
                        <w:right w:val="none" w:sz="0" w:space="0" w:color="auto"/>
                      </w:divBdr>
                      <w:divsChild>
                        <w:div w:id="1389112816">
                          <w:marLeft w:val="0"/>
                          <w:marRight w:val="0"/>
                          <w:marTop w:val="0"/>
                          <w:marBottom w:val="0"/>
                          <w:divBdr>
                            <w:top w:val="none" w:sz="0" w:space="0" w:color="auto"/>
                            <w:left w:val="none" w:sz="0" w:space="0" w:color="auto"/>
                            <w:bottom w:val="none" w:sz="0" w:space="0" w:color="auto"/>
                            <w:right w:val="none" w:sz="0" w:space="0" w:color="auto"/>
                          </w:divBdr>
                          <w:divsChild>
                            <w:div w:id="143864591">
                              <w:marLeft w:val="0"/>
                              <w:marRight w:val="0"/>
                              <w:marTop w:val="0"/>
                              <w:marBottom w:val="0"/>
                              <w:divBdr>
                                <w:top w:val="none" w:sz="0" w:space="0" w:color="auto"/>
                                <w:left w:val="none" w:sz="0" w:space="0" w:color="auto"/>
                                <w:bottom w:val="none" w:sz="0" w:space="0" w:color="auto"/>
                                <w:right w:val="none" w:sz="0" w:space="0" w:color="auto"/>
                              </w:divBdr>
                              <w:divsChild>
                                <w:div w:id="2140148988">
                                  <w:marLeft w:val="0"/>
                                  <w:marRight w:val="0"/>
                                  <w:marTop w:val="0"/>
                                  <w:marBottom w:val="0"/>
                                  <w:divBdr>
                                    <w:top w:val="none" w:sz="0" w:space="0" w:color="auto"/>
                                    <w:left w:val="none" w:sz="0" w:space="0" w:color="auto"/>
                                    <w:bottom w:val="none" w:sz="0" w:space="0" w:color="auto"/>
                                    <w:right w:val="none" w:sz="0" w:space="0" w:color="auto"/>
                                  </w:divBdr>
                                  <w:divsChild>
                                    <w:div w:id="2026202482">
                                      <w:marLeft w:val="0"/>
                                      <w:marRight w:val="0"/>
                                      <w:marTop w:val="0"/>
                                      <w:marBottom w:val="0"/>
                                      <w:divBdr>
                                        <w:top w:val="none" w:sz="0" w:space="0" w:color="auto"/>
                                        <w:left w:val="none" w:sz="0" w:space="0" w:color="auto"/>
                                        <w:bottom w:val="none" w:sz="0" w:space="0" w:color="auto"/>
                                        <w:right w:val="none" w:sz="0" w:space="0" w:color="auto"/>
                                      </w:divBdr>
                                      <w:divsChild>
                                        <w:div w:id="95298044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065416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60530367">
                                                  <w:marLeft w:val="0"/>
                                                  <w:marRight w:val="0"/>
                                                  <w:marTop w:val="0"/>
                                                  <w:marBottom w:val="0"/>
                                                  <w:divBdr>
                                                    <w:top w:val="none" w:sz="0" w:space="0" w:color="auto"/>
                                                    <w:left w:val="none" w:sz="0" w:space="0" w:color="auto"/>
                                                    <w:bottom w:val="none" w:sz="0" w:space="0" w:color="auto"/>
                                                    <w:right w:val="none" w:sz="0" w:space="0" w:color="auto"/>
                                                  </w:divBdr>
                                                  <w:divsChild>
                                                    <w:div w:id="92218213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45153364">
                                                  <w:marLeft w:val="0"/>
                                                  <w:marRight w:val="0"/>
                                                  <w:marTop w:val="0"/>
                                                  <w:marBottom w:val="0"/>
                                                  <w:divBdr>
                                                    <w:top w:val="none" w:sz="0" w:space="0" w:color="auto"/>
                                                    <w:left w:val="none" w:sz="0" w:space="0" w:color="auto"/>
                                                    <w:bottom w:val="none" w:sz="0" w:space="0" w:color="auto"/>
                                                    <w:right w:val="none" w:sz="0" w:space="0" w:color="auto"/>
                                                  </w:divBdr>
                                                  <w:divsChild>
                                                    <w:div w:id="9779516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666800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2027168815">
      <w:bodyDiv w:val="1"/>
      <w:marLeft w:val="0"/>
      <w:marRight w:val="679"/>
      <w:marTop w:val="0"/>
      <w:marBottom w:val="0"/>
      <w:divBdr>
        <w:top w:val="none" w:sz="0" w:space="0" w:color="auto"/>
        <w:left w:val="none" w:sz="0" w:space="0" w:color="auto"/>
        <w:bottom w:val="none" w:sz="0" w:space="0" w:color="auto"/>
        <w:right w:val="none" w:sz="0" w:space="0" w:color="auto"/>
      </w:divBdr>
      <w:divsChild>
        <w:div w:id="634071323">
          <w:marLeft w:val="0"/>
          <w:marRight w:val="0"/>
          <w:marTop w:val="0"/>
          <w:marBottom w:val="0"/>
          <w:divBdr>
            <w:top w:val="none" w:sz="0" w:space="0" w:color="auto"/>
            <w:left w:val="none" w:sz="0" w:space="0" w:color="auto"/>
            <w:bottom w:val="none" w:sz="0" w:space="0" w:color="auto"/>
            <w:right w:val="none" w:sz="0" w:space="0" w:color="auto"/>
          </w:divBdr>
          <w:divsChild>
            <w:div w:id="1730805911">
              <w:marLeft w:val="0"/>
              <w:marRight w:val="0"/>
              <w:marTop w:val="0"/>
              <w:marBottom w:val="0"/>
              <w:divBdr>
                <w:top w:val="none" w:sz="0" w:space="0" w:color="auto"/>
                <w:left w:val="none" w:sz="0" w:space="0" w:color="auto"/>
                <w:bottom w:val="none" w:sz="0" w:space="0" w:color="auto"/>
                <w:right w:val="none" w:sz="0" w:space="0" w:color="auto"/>
              </w:divBdr>
              <w:divsChild>
                <w:div w:id="722944517">
                  <w:marLeft w:val="0"/>
                  <w:marRight w:val="0"/>
                  <w:marTop w:val="0"/>
                  <w:marBottom w:val="0"/>
                  <w:divBdr>
                    <w:top w:val="none" w:sz="0" w:space="0" w:color="auto"/>
                    <w:left w:val="none" w:sz="0" w:space="0" w:color="auto"/>
                    <w:bottom w:val="none" w:sz="0" w:space="0" w:color="auto"/>
                    <w:right w:val="none" w:sz="0" w:space="0" w:color="auto"/>
                  </w:divBdr>
                  <w:divsChild>
                    <w:div w:id="1952471991">
                      <w:marLeft w:val="-204"/>
                      <w:marRight w:val="-204"/>
                      <w:marTop w:val="0"/>
                      <w:marBottom w:val="0"/>
                      <w:divBdr>
                        <w:top w:val="none" w:sz="0" w:space="0" w:color="auto"/>
                        <w:left w:val="none" w:sz="0" w:space="0" w:color="auto"/>
                        <w:bottom w:val="none" w:sz="0" w:space="0" w:color="auto"/>
                        <w:right w:val="none" w:sz="0" w:space="0" w:color="auto"/>
                      </w:divBdr>
                      <w:divsChild>
                        <w:div w:id="468743689">
                          <w:marLeft w:val="0"/>
                          <w:marRight w:val="0"/>
                          <w:marTop w:val="0"/>
                          <w:marBottom w:val="0"/>
                          <w:divBdr>
                            <w:top w:val="none" w:sz="0" w:space="0" w:color="auto"/>
                            <w:left w:val="none" w:sz="0" w:space="0" w:color="auto"/>
                            <w:bottom w:val="none" w:sz="0" w:space="0" w:color="auto"/>
                            <w:right w:val="none" w:sz="0" w:space="0" w:color="auto"/>
                          </w:divBdr>
                          <w:divsChild>
                            <w:div w:id="1987857527">
                              <w:marLeft w:val="0"/>
                              <w:marRight w:val="0"/>
                              <w:marTop w:val="0"/>
                              <w:marBottom w:val="0"/>
                              <w:divBdr>
                                <w:top w:val="none" w:sz="0" w:space="0" w:color="auto"/>
                                <w:left w:val="none" w:sz="0" w:space="0" w:color="auto"/>
                                <w:bottom w:val="none" w:sz="0" w:space="0" w:color="auto"/>
                                <w:right w:val="none" w:sz="0" w:space="0" w:color="auto"/>
                              </w:divBdr>
                              <w:divsChild>
                                <w:div w:id="232013591">
                                  <w:marLeft w:val="0"/>
                                  <w:marRight w:val="0"/>
                                  <w:marTop w:val="0"/>
                                  <w:marBottom w:val="0"/>
                                  <w:divBdr>
                                    <w:top w:val="none" w:sz="0" w:space="0" w:color="auto"/>
                                    <w:left w:val="none" w:sz="0" w:space="0" w:color="auto"/>
                                    <w:bottom w:val="none" w:sz="0" w:space="0" w:color="auto"/>
                                    <w:right w:val="none" w:sz="0" w:space="0" w:color="auto"/>
                                  </w:divBdr>
                                  <w:divsChild>
                                    <w:div w:id="1791901520">
                                      <w:marLeft w:val="0"/>
                                      <w:marRight w:val="0"/>
                                      <w:marTop w:val="0"/>
                                      <w:marBottom w:val="0"/>
                                      <w:divBdr>
                                        <w:top w:val="none" w:sz="0" w:space="0" w:color="auto"/>
                                        <w:left w:val="none" w:sz="0" w:space="0" w:color="auto"/>
                                        <w:bottom w:val="none" w:sz="0" w:space="0" w:color="auto"/>
                                        <w:right w:val="none" w:sz="0" w:space="0" w:color="auto"/>
                                      </w:divBdr>
                                      <w:divsChild>
                                        <w:div w:id="1159928616">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301009045">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59149328">
                                                  <w:marLeft w:val="0"/>
                                                  <w:marRight w:val="0"/>
                                                  <w:marTop w:val="0"/>
                                                  <w:marBottom w:val="0"/>
                                                  <w:divBdr>
                                                    <w:top w:val="none" w:sz="0" w:space="0" w:color="auto"/>
                                                    <w:left w:val="none" w:sz="0" w:space="0" w:color="auto"/>
                                                    <w:bottom w:val="none" w:sz="0" w:space="0" w:color="auto"/>
                                                    <w:right w:val="none" w:sz="0" w:space="0" w:color="auto"/>
                                                  </w:divBdr>
                                                  <w:divsChild>
                                                    <w:div w:id="1161505187">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36190213">
                                                          <w:marLeft w:val="0"/>
                                                          <w:marRight w:val="0"/>
                                                          <w:marTop w:val="0"/>
                                                          <w:marBottom w:val="0"/>
                                                          <w:divBdr>
                                                            <w:top w:val="none" w:sz="0" w:space="0" w:color="auto"/>
                                                            <w:left w:val="none" w:sz="0" w:space="0" w:color="auto"/>
                                                            <w:bottom w:val="none" w:sz="0" w:space="0" w:color="auto"/>
                                                            <w:right w:val="none" w:sz="0" w:space="0" w:color="auto"/>
                                                          </w:divBdr>
                                                          <w:divsChild>
                                                            <w:div w:id="1942570782">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020861824">
                                                          <w:marLeft w:val="0"/>
                                                          <w:marRight w:val="0"/>
                                                          <w:marTop w:val="0"/>
                                                          <w:marBottom w:val="0"/>
                                                          <w:divBdr>
                                                            <w:top w:val="none" w:sz="0" w:space="0" w:color="auto"/>
                                                            <w:left w:val="none" w:sz="0" w:space="0" w:color="auto"/>
                                                            <w:bottom w:val="none" w:sz="0" w:space="0" w:color="auto"/>
                                                            <w:right w:val="none" w:sz="0" w:space="0" w:color="auto"/>
                                                          </w:divBdr>
                                                          <w:divsChild>
                                                            <w:div w:id="155990082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 w:id="439421553">
                                                  <w:marLeft w:val="0"/>
                                                  <w:marRight w:val="0"/>
                                                  <w:marTop w:val="0"/>
                                                  <w:marBottom w:val="0"/>
                                                  <w:divBdr>
                                                    <w:top w:val="none" w:sz="0" w:space="0" w:color="auto"/>
                                                    <w:left w:val="none" w:sz="0" w:space="0" w:color="auto"/>
                                                    <w:bottom w:val="none" w:sz="0" w:space="0" w:color="auto"/>
                                                    <w:right w:val="none" w:sz="0" w:space="0" w:color="auto"/>
                                                  </w:divBdr>
                                                  <w:divsChild>
                                                    <w:div w:id="564341910">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5005515">
      <w:bodyDiv w:val="1"/>
      <w:marLeft w:val="0"/>
      <w:marRight w:val="750"/>
      <w:marTop w:val="0"/>
      <w:marBottom w:val="0"/>
      <w:divBdr>
        <w:top w:val="none" w:sz="0" w:space="0" w:color="auto"/>
        <w:left w:val="none" w:sz="0" w:space="0" w:color="auto"/>
        <w:bottom w:val="none" w:sz="0" w:space="0" w:color="auto"/>
        <w:right w:val="none" w:sz="0" w:space="0" w:color="auto"/>
      </w:divBdr>
      <w:divsChild>
        <w:div w:id="330106480">
          <w:marLeft w:val="0"/>
          <w:marRight w:val="0"/>
          <w:marTop w:val="0"/>
          <w:marBottom w:val="0"/>
          <w:divBdr>
            <w:top w:val="none" w:sz="0" w:space="0" w:color="auto"/>
            <w:left w:val="none" w:sz="0" w:space="0" w:color="auto"/>
            <w:bottom w:val="none" w:sz="0" w:space="0" w:color="auto"/>
            <w:right w:val="none" w:sz="0" w:space="0" w:color="auto"/>
          </w:divBdr>
          <w:divsChild>
            <w:div w:id="1884560249">
              <w:marLeft w:val="0"/>
              <w:marRight w:val="0"/>
              <w:marTop w:val="0"/>
              <w:marBottom w:val="0"/>
              <w:divBdr>
                <w:top w:val="none" w:sz="0" w:space="0" w:color="auto"/>
                <w:left w:val="none" w:sz="0" w:space="0" w:color="auto"/>
                <w:bottom w:val="none" w:sz="0" w:space="0" w:color="auto"/>
                <w:right w:val="none" w:sz="0" w:space="0" w:color="auto"/>
              </w:divBdr>
              <w:divsChild>
                <w:div w:id="1063136295">
                  <w:marLeft w:val="0"/>
                  <w:marRight w:val="0"/>
                  <w:marTop w:val="0"/>
                  <w:marBottom w:val="0"/>
                  <w:divBdr>
                    <w:top w:val="none" w:sz="0" w:space="0" w:color="auto"/>
                    <w:left w:val="none" w:sz="0" w:space="0" w:color="auto"/>
                    <w:bottom w:val="none" w:sz="0" w:space="0" w:color="auto"/>
                    <w:right w:val="none" w:sz="0" w:space="0" w:color="auto"/>
                  </w:divBdr>
                  <w:divsChild>
                    <w:div w:id="339045752">
                      <w:marLeft w:val="-225"/>
                      <w:marRight w:val="-225"/>
                      <w:marTop w:val="0"/>
                      <w:marBottom w:val="0"/>
                      <w:divBdr>
                        <w:top w:val="none" w:sz="0" w:space="0" w:color="auto"/>
                        <w:left w:val="none" w:sz="0" w:space="0" w:color="auto"/>
                        <w:bottom w:val="none" w:sz="0" w:space="0" w:color="auto"/>
                        <w:right w:val="none" w:sz="0" w:space="0" w:color="auto"/>
                      </w:divBdr>
                      <w:divsChild>
                        <w:div w:id="1598321819">
                          <w:marLeft w:val="0"/>
                          <w:marRight w:val="0"/>
                          <w:marTop w:val="0"/>
                          <w:marBottom w:val="0"/>
                          <w:divBdr>
                            <w:top w:val="none" w:sz="0" w:space="0" w:color="auto"/>
                            <w:left w:val="none" w:sz="0" w:space="0" w:color="auto"/>
                            <w:bottom w:val="none" w:sz="0" w:space="0" w:color="auto"/>
                            <w:right w:val="none" w:sz="0" w:space="0" w:color="auto"/>
                          </w:divBdr>
                          <w:divsChild>
                            <w:div w:id="1244608121">
                              <w:marLeft w:val="0"/>
                              <w:marRight w:val="0"/>
                              <w:marTop w:val="0"/>
                              <w:marBottom w:val="0"/>
                              <w:divBdr>
                                <w:top w:val="none" w:sz="0" w:space="0" w:color="auto"/>
                                <w:left w:val="none" w:sz="0" w:space="0" w:color="auto"/>
                                <w:bottom w:val="none" w:sz="0" w:space="0" w:color="auto"/>
                                <w:right w:val="none" w:sz="0" w:space="0" w:color="auto"/>
                              </w:divBdr>
                              <w:divsChild>
                                <w:div w:id="892158512">
                                  <w:marLeft w:val="0"/>
                                  <w:marRight w:val="0"/>
                                  <w:marTop w:val="0"/>
                                  <w:marBottom w:val="0"/>
                                  <w:divBdr>
                                    <w:top w:val="none" w:sz="0" w:space="0" w:color="auto"/>
                                    <w:left w:val="none" w:sz="0" w:space="0" w:color="auto"/>
                                    <w:bottom w:val="none" w:sz="0" w:space="0" w:color="auto"/>
                                    <w:right w:val="none" w:sz="0" w:space="0" w:color="auto"/>
                                  </w:divBdr>
                                  <w:divsChild>
                                    <w:div w:id="1404794566">
                                      <w:marLeft w:val="0"/>
                                      <w:marRight w:val="0"/>
                                      <w:marTop w:val="0"/>
                                      <w:marBottom w:val="0"/>
                                      <w:divBdr>
                                        <w:top w:val="none" w:sz="0" w:space="0" w:color="auto"/>
                                        <w:left w:val="none" w:sz="0" w:space="0" w:color="auto"/>
                                        <w:bottom w:val="none" w:sz="0" w:space="0" w:color="auto"/>
                                        <w:right w:val="none" w:sz="0" w:space="0" w:color="auto"/>
                                      </w:divBdr>
                                      <w:divsChild>
                                        <w:div w:id="63610372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86806031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2130662648">
      <w:bodyDiv w:val="1"/>
      <w:marLeft w:val="0"/>
      <w:marRight w:val="679"/>
      <w:marTop w:val="0"/>
      <w:marBottom w:val="0"/>
      <w:divBdr>
        <w:top w:val="none" w:sz="0" w:space="0" w:color="auto"/>
        <w:left w:val="none" w:sz="0" w:space="0" w:color="auto"/>
        <w:bottom w:val="none" w:sz="0" w:space="0" w:color="auto"/>
        <w:right w:val="none" w:sz="0" w:space="0" w:color="auto"/>
      </w:divBdr>
      <w:divsChild>
        <w:div w:id="822894859">
          <w:marLeft w:val="0"/>
          <w:marRight w:val="0"/>
          <w:marTop w:val="0"/>
          <w:marBottom w:val="0"/>
          <w:divBdr>
            <w:top w:val="none" w:sz="0" w:space="0" w:color="auto"/>
            <w:left w:val="none" w:sz="0" w:space="0" w:color="auto"/>
            <w:bottom w:val="none" w:sz="0" w:space="0" w:color="auto"/>
            <w:right w:val="none" w:sz="0" w:space="0" w:color="auto"/>
          </w:divBdr>
          <w:divsChild>
            <w:div w:id="619603960">
              <w:marLeft w:val="0"/>
              <w:marRight w:val="0"/>
              <w:marTop w:val="0"/>
              <w:marBottom w:val="0"/>
              <w:divBdr>
                <w:top w:val="none" w:sz="0" w:space="0" w:color="auto"/>
                <w:left w:val="none" w:sz="0" w:space="0" w:color="auto"/>
                <w:bottom w:val="none" w:sz="0" w:space="0" w:color="auto"/>
                <w:right w:val="none" w:sz="0" w:space="0" w:color="auto"/>
              </w:divBdr>
              <w:divsChild>
                <w:div w:id="510292404">
                  <w:marLeft w:val="0"/>
                  <w:marRight w:val="0"/>
                  <w:marTop w:val="0"/>
                  <w:marBottom w:val="0"/>
                  <w:divBdr>
                    <w:top w:val="none" w:sz="0" w:space="0" w:color="auto"/>
                    <w:left w:val="none" w:sz="0" w:space="0" w:color="auto"/>
                    <w:bottom w:val="none" w:sz="0" w:space="0" w:color="auto"/>
                    <w:right w:val="none" w:sz="0" w:space="0" w:color="auto"/>
                  </w:divBdr>
                  <w:divsChild>
                    <w:div w:id="275406085">
                      <w:marLeft w:val="-204"/>
                      <w:marRight w:val="-204"/>
                      <w:marTop w:val="0"/>
                      <w:marBottom w:val="0"/>
                      <w:divBdr>
                        <w:top w:val="none" w:sz="0" w:space="0" w:color="auto"/>
                        <w:left w:val="none" w:sz="0" w:space="0" w:color="auto"/>
                        <w:bottom w:val="none" w:sz="0" w:space="0" w:color="auto"/>
                        <w:right w:val="none" w:sz="0" w:space="0" w:color="auto"/>
                      </w:divBdr>
                      <w:divsChild>
                        <w:div w:id="1406607996">
                          <w:marLeft w:val="0"/>
                          <w:marRight w:val="0"/>
                          <w:marTop w:val="0"/>
                          <w:marBottom w:val="0"/>
                          <w:divBdr>
                            <w:top w:val="none" w:sz="0" w:space="0" w:color="auto"/>
                            <w:left w:val="none" w:sz="0" w:space="0" w:color="auto"/>
                            <w:bottom w:val="none" w:sz="0" w:space="0" w:color="auto"/>
                            <w:right w:val="none" w:sz="0" w:space="0" w:color="auto"/>
                          </w:divBdr>
                          <w:divsChild>
                            <w:div w:id="1020623165">
                              <w:marLeft w:val="0"/>
                              <w:marRight w:val="0"/>
                              <w:marTop w:val="0"/>
                              <w:marBottom w:val="0"/>
                              <w:divBdr>
                                <w:top w:val="none" w:sz="0" w:space="0" w:color="auto"/>
                                <w:left w:val="none" w:sz="0" w:space="0" w:color="auto"/>
                                <w:bottom w:val="none" w:sz="0" w:space="0" w:color="auto"/>
                                <w:right w:val="none" w:sz="0" w:space="0" w:color="auto"/>
                              </w:divBdr>
                              <w:divsChild>
                                <w:div w:id="1505322726">
                                  <w:marLeft w:val="0"/>
                                  <w:marRight w:val="0"/>
                                  <w:marTop w:val="0"/>
                                  <w:marBottom w:val="0"/>
                                  <w:divBdr>
                                    <w:top w:val="none" w:sz="0" w:space="0" w:color="auto"/>
                                    <w:left w:val="none" w:sz="0" w:space="0" w:color="auto"/>
                                    <w:bottom w:val="none" w:sz="0" w:space="0" w:color="auto"/>
                                    <w:right w:val="none" w:sz="0" w:space="0" w:color="auto"/>
                                  </w:divBdr>
                                  <w:divsChild>
                                    <w:div w:id="240871247">
                                      <w:marLeft w:val="0"/>
                                      <w:marRight w:val="0"/>
                                      <w:marTop w:val="0"/>
                                      <w:marBottom w:val="0"/>
                                      <w:divBdr>
                                        <w:top w:val="none" w:sz="0" w:space="0" w:color="auto"/>
                                        <w:left w:val="none" w:sz="0" w:space="0" w:color="auto"/>
                                        <w:bottom w:val="none" w:sz="0" w:space="0" w:color="auto"/>
                                        <w:right w:val="none" w:sz="0" w:space="0" w:color="auto"/>
                                      </w:divBdr>
                                      <w:divsChild>
                                        <w:div w:id="36506236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377970713">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2025590045">
                                                  <w:marLeft w:val="0"/>
                                                  <w:marRight w:val="0"/>
                                                  <w:marTop w:val="0"/>
                                                  <w:marBottom w:val="0"/>
                                                  <w:divBdr>
                                                    <w:top w:val="none" w:sz="0" w:space="0" w:color="auto"/>
                                                    <w:left w:val="none" w:sz="0" w:space="0" w:color="auto"/>
                                                    <w:bottom w:val="none" w:sz="0" w:space="0" w:color="auto"/>
                                                    <w:right w:val="none" w:sz="0" w:space="0" w:color="auto"/>
                                                  </w:divBdr>
                                                  <w:divsChild>
                                                    <w:div w:id="1980376130">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421948957">
                                                  <w:marLeft w:val="0"/>
                                                  <w:marRight w:val="0"/>
                                                  <w:marTop w:val="0"/>
                                                  <w:marBottom w:val="0"/>
                                                  <w:divBdr>
                                                    <w:top w:val="none" w:sz="0" w:space="0" w:color="auto"/>
                                                    <w:left w:val="none" w:sz="0" w:space="0" w:color="auto"/>
                                                    <w:bottom w:val="none" w:sz="0" w:space="0" w:color="auto"/>
                                                    <w:right w:val="none" w:sz="0" w:space="0" w:color="auto"/>
                                                  </w:divBdr>
                                                  <w:divsChild>
                                                    <w:div w:id="25140112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755FD-CD5B-4E48-BA8F-B5E98F0BB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1933</Words>
  <Characters>11023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Camden Council</Company>
  <LinksUpToDate>false</LinksUpToDate>
  <CharactersWithSpaces>12931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Pritchard</dc:creator>
  <cp:lastModifiedBy>Jamie Erken</cp:lastModifiedBy>
  <cp:revision>2</cp:revision>
  <dcterms:created xsi:type="dcterms:W3CDTF">2020-07-20T00:17:00Z</dcterms:created>
  <dcterms:modified xsi:type="dcterms:W3CDTF">2020-07-20T00:17:00Z</dcterms:modified>
</cp:coreProperties>
</file>